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1039"/>
        <w:ind w:firstLine="300"/>
        <w:spacing w:line="360" w:lineRule="auto"/>
        <w:rPr>
          <w:sz w:val="60"/>
          <w:szCs w:val="60"/>
          <w:highlight w:val="none"/>
        </w:rPr>
      </w:pPr>
      <w:r>
        <w:rPr>
          <w:sz w:val="60"/>
          <w:szCs w:val="60"/>
          <w:highlight w:val="none"/>
        </w:rPr>
      </w:r>
      <w:r/>
    </w:p>
    <w:p>
      <w:pPr>
        <w:pStyle w:val="1039"/>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1039"/>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1039"/>
        <w:jc w:val="center"/>
        <w:spacing w:line="360" w:lineRule="auto"/>
        <w:rPr>
          <w:rFonts w:ascii="宋体" w:hAnsi="宋体"/>
          <w:b/>
          <w:bCs/>
          <w:sz w:val="60"/>
          <w:szCs w:val="60"/>
          <w:highlight w:val="none"/>
        </w:rPr>
      </w:pPr>
      <w:r>
        <w:rPr>
          <w:rFonts w:hint="eastAsia" w:ascii="方正仿宋_GBK" w:hAnsi="方正仿宋_GBK" w:eastAsia="方正仿宋_GBK" w:cs="方正仿宋_GBK"/>
          <w:b/>
          <w:bCs/>
          <w:sz w:val="60"/>
          <w:szCs w:val="60"/>
          <w:highlight w:val="none"/>
        </w:rPr>
        <w:t xml:space="preserve">（试行）（2022年版）</w:t>
      </w:r>
      <w:r>
        <w:rPr>
          <w:rFonts w:ascii="宋体" w:hAnsi="宋体"/>
          <w:b/>
          <w:bCs/>
          <w:sz w:val="60"/>
          <w:szCs w:val="60"/>
          <w:highlight w:val="none"/>
        </w:rPr>
      </w:r>
      <w:r/>
    </w:p>
    <w:p>
      <w:pPr>
        <w:pStyle w:val="1039"/>
        <w:jc w:val="center"/>
        <w:spacing w:line="360" w:lineRule="auto"/>
        <w:rPr>
          <w:rFonts w:ascii="宋体" w:hAnsi="宋体"/>
          <w:b/>
          <w:bCs/>
          <w:sz w:val="60"/>
          <w:szCs w:val="60"/>
          <w:highlight w:val="none"/>
        </w:rPr>
      </w:pPr>
      <w:r>
        <w:rPr>
          <w:rFonts w:ascii="宋体" w:hAnsi="宋体"/>
          <w:b/>
          <w:bCs/>
          <w:sz w:val="60"/>
          <w:szCs w:val="60"/>
          <w:highlight w:val="none"/>
        </w:rPr>
      </w:r>
      <w:r/>
    </w:p>
    <w:p>
      <w:pPr>
        <w:pStyle w:val="1118"/>
        <w:ind w:firstLine="1205"/>
        <w:rPr>
          <w:rFonts w:hAnsi="宋体"/>
          <w:b/>
          <w:bCs/>
          <w:sz w:val="60"/>
          <w:szCs w:val="60"/>
          <w:highlight w:val="none"/>
        </w:rPr>
      </w:pPr>
      <w:r>
        <w:rPr>
          <w:rFonts w:hAnsi="宋体"/>
          <w:b/>
          <w:bCs/>
          <w:sz w:val="60"/>
          <w:szCs w:val="60"/>
          <w:highlight w:val="none"/>
        </w:rPr>
      </w:r>
      <w:r/>
    </w:p>
    <w:p>
      <w:pPr>
        <w:pStyle w:val="1039"/>
        <w:rPr>
          <w:rFonts w:ascii="宋体" w:hAnsi="宋体"/>
          <w:b/>
          <w:bCs/>
          <w:sz w:val="60"/>
          <w:szCs w:val="60"/>
          <w:highlight w:val="none"/>
        </w:rPr>
      </w:pPr>
      <w:r>
        <w:rPr>
          <w:rFonts w:ascii="宋体" w:hAnsi="宋体"/>
          <w:b/>
          <w:bCs/>
          <w:sz w:val="60"/>
          <w:szCs w:val="60"/>
          <w:highlight w:val="none"/>
        </w:rPr>
      </w:r>
      <w:r/>
    </w:p>
    <w:p>
      <w:pPr>
        <w:pStyle w:val="1118"/>
        <w:ind w:firstLine="480"/>
        <w:rPr>
          <w:highlight w:val="none"/>
        </w:rPr>
      </w:pPr>
      <w:r>
        <w:rPr>
          <w:highlight w:val="none"/>
        </w:rPr>
      </w:r>
      <w:r/>
    </w:p>
    <w:p>
      <w:pPr>
        <w:pStyle w:val="1039"/>
        <w:ind w:left="0" w:firstLine="0"/>
        <w:jc w:val="center"/>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rPr>
        <w:t xml:space="preserve">202</w:t>
      </w:r>
      <w:r>
        <w:rPr>
          <w:rFonts w:hint="eastAsia"/>
          <w:bCs/>
          <w:sz w:val="36"/>
          <w:szCs w:val="36"/>
          <w:highlight w:val="none"/>
          <w:lang w:val="en-US" w:eastAsia="zh-CN"/>
        </w:rPr>
        <w:t xml:space="preserve">6</w:t>
      </w:r>
      <w:r>
        <w:rPr>
          <w:rFonts w:hint="eastAsia"/>
          <w:bCs/>
          <w:sz w:val="36"/>
          <w:szCs w:val="36"/>
          <w:highlight w:val="none"/>
        </w:rPr>
        <w:t xml:space="preserve">年度溧阳市教育局机关食堂食材配送服务       项目</w:t>
      </w:r>
      <w:r>
        <w:rPr>
          <w:rFonts w:hint="eastAsia"/>
          <w:bCs/>
          <w:sz w:val="36"/>
          <w:szCs w:val="36"/>
          <w:highlight w:val="none"/>
        </w:rPr>
      </w:r>
      <w:r/>
    </w:p>
    <w:p>
      <w:pPr>
        <w:pStyle w:val="1039"/>
        <w:ind w:left="0" w:firstLine="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项目编号：</w:t>
      </w:r>
      <w:r>
        <w:rPr>
          <w:rFonts w:hint="eastAsia"/>
          <w:bCs/>
          <w:sz w:val="36"/>
          <w:szCs w:val="36"/>
          <w:highlight w:val="none"/>
        </w:rPr>
        <w:t xml:space="preserve">JSZC-320481-LCGL-C2025-0078</w:t>
      </w:r>
      <w:r>
        <w:rPr>
          <w:bCs/>
          <w:sz w:val="36"/>
          <w:szCs w:val="36"/>
          <w:highlight w:val="none"/>
        </w:rPr>
      </w:r>
      <w:r/>
    </w:p>
    <w:p>
      <w:pPr>
        <w:pStyle w:val="1039"/>
        <w:ind w:left="0" w:firstLine="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采 购 人：</w:t>
      </w:r>
      <w:r>
        <w:rPr>
          <w:rFonts w:hint="eastAsia"/>
          <w:bCs/>
          <w:sz w:val="36"/>
          <w:szCs w:val="36"/>
          <w:highlight w:val="none"/>
        </w:rPr>
        <w:t xml:space="preserve">溧阳市教育局</w:t>
      </w:r>
      <w:r>
        <w:rPr>
          <w:rFonts w:hint="eastAsia"/>
          <w:bCs/>
          <w:sz w:val="36"/>
          <w:szCs w:val="36"/>
          <w:highlight w:val="none"/>
        </w:rPr>
      </w:r>
      <w:r/>
    </w:p>
    <w:p>
      <w:pPr>
        <w:pStyle w:val="1039"/>
        <w:ind w:left="0" w:firstLine="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江苏立诚建设项目管理咨询有限公司</w:t>
      </w:r>
      <w:r>
        <w:rPr>
          <w:bCs/>
          <w:sz w:val="36"/>
          <w:szCs w:val="36"/>
          <w:highlight w:val="none"/>
        </w:rPr>
        <w:t xml:space="preserve"> </w:t>
      </w:r>
      <w:r>
        <w:rPr>
          <w:bCs/>
          <w:sz w:val="36"/>
          <w:szCs w:val="36"/>
          <w:highlight w:val="none"/>
        </w:rPr>
      </w:r>
      <w:r/>
    </w:p>
    <w:p>
      <w:pPr>
        <w:pStyle w:val="1039"/>
        <w:jc w:val="left"/>
        <w:widowControl/>
        <w:rPr>
          <w:sz w:val="24"/>
          <w:highlight w:val="none"/>
        </w:rPr>
        <w:sectPr>
          <w:headerReference w:type="default" r:id="rId9"/>
          <w:headerReference w:type="first" r:id="rId10"/>
          <w:footerReference w:type="default" r:id="rId13"/>
          <w:footerReference w:type="even" r:id="rId14"/>
          <w:footerReference w:type="first" r:id="rId15"/>
          <w:footnotePr/>
          <w:endnotePr/>
          <w:type w:val="nextColumn"/>
          <w:pgSz w:w="11900" w:h="16832" w:orient="portrait"/>
          <w:pgMar w:top="1417" w:right="1417" w:bottom="1417" w:left="1417" w:header="850" w:footer="850" w:gutter="0"/>
          <w:pgNumType w:start="1"/>
          <w:cols w:num="1" w:sep="0" w:space="1701" w:equalWidth="1"/>
          <w:docGrid w:linePitch="360"/>
        </w:sectPr>
      </w:pPr>
      <w:r>
        <w:rPr>
          <w:sz w:val="24"/>
          <w:highlight w:val="none"/>
        </w:rPr>
      </w:r>
      <w:r/>
    </w:p>
    <w:p>
      <w:pPr>
        <w:pStyle w:val="1042"/>
        <w:rPr>
          <w:highlight w:val="none"/>
        </w:rPr>
      </w:pPr>
      <w:r>
        <w:rPr>
          <w:highlight w:val="none"/>
        </w:rPr>
      </w:r>
      <w:r/>
    </w:p>
    <w:p>
      <w:pPr>
        <w:pStyle w:val="1218"/>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39"/>
        <w:jc w:val="center"/>
        <w:spacing w:line="360" w:lineRule="auto"/>
        <w:rPr>
          <w:b/>
          <w:sz w:val="36"/>
          <w:szCs w:val="36"/>
          <w:highlight w:val="none"/>
        </w:rPr>
        <w:outlineLvl w:val="0"/>
      </w:pPr>
      <w:r/>
      <w:bookmarkStart w:id="0" w:name="_Toc104818924"/>
      <w:r/>
      <w:bookmarkStart w:id="1" w:name="_Toc28383"/>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rPr>
          <w:b/>
          <w:sz w:val="36"/>
          <w:szCs w:val="36"/>
          <w:highlight w:val="none"/>
        </w:rPr>
      </w:r>
      <w:r/>
    </w:p>
    <w:p>
      <w:pPr>
        <w:pStyle w:val="1039"/>
        <w:rPr>
          <w:highlight w:val="none"/>
        </w:rPr>
      </w:pPr>
      <w:r>
        <w:rPr>
          <w:highlight w:val="none"/>
        </w:rPr>
      </w:r>
      <w:r/>
    </w:p>
    <w:p>
      <w:pPr>
        <w:pStyle w:val="1039"/>
        <w:rPr>
          <w:highlight w:val="none"/>
        </w:rPr>
      </w:pPr>
      <w:r>
        <w:rPr>
          <w:highlight w:val="none"/>
        </w:rPr>
      </w:r>
      <w:r/>
    </w:p>
    <w:p>
      <w:pPr>
        <w:pStyle w:val="1039"/>
        <w:rPr>
          <w:highlight w:val="none"/>
        </w:rPr>
      </w:pPr>
      <w:r>
        <w:rPr>
          <w:highlight w:val="none"/>
        </w:rPr>
      </w:r>
      <w:r/>
    </w:p>
    <w:p>
      <w:pPr>
        <w:pStyle w:val="1039"/>
        <w:rPr>
          <w:highlight w:val="none"/>
        </w:rPr>
      </w:pPr>
      <w:r>
        <w:rPr>
          <w:highlight w:val="none"/>
        </w:rPr>
      </w:r>
      <w:r/>
    </w:p>
    <w:p>
      <w:pPr>
        <w:pStyle w:val="1091"/>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_Toc1923 </w:instrText>
      </w:r>
      <w:r>
        <w:rPr>
          <w:rFonts w:ascii="Times New Roman" w:hAnsi="Times New Roman"/>
          <w:highlight w:val="none"/>
        </w:rPr>
        <w:fldChar w:fldCharType="separate"/>
      </w:r>
      <w:r>
        <w:rPr>
          <w:szCs w:val="36"/>
          <w:highlight w:val="none"/>
        </w:rPr>
        <w:t xml:space="preserve">第一章   采购邀请</w:t>
      </w:r>
      <w:r>
        <w:rPr>
          <w:highlight w:val="none"/>
        </w:rPr>
        <w:tab/>
      </w:r>
      <w:r>
        <w:rPr>
          <w:highlight w:val="none"/>
        </w:rPr>
        <w:fldChar w:fldCharType="begin"/>
      </w:r>
      <w:r>
        <w:rPr>
          <w:highlight w:val="none"/>
        </w:rPr>
        <w:instrText xml:space="preserve"> PAGEREF _Toc1923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109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_Toc14381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_Toc14381 \h </w:instrText>
      </w:r>
      <w:r>
        <w:rPr>
          <w:highlight w:val="none"/>
        </w:rPr>
        <w:fldChar w:fldCharType="separate"/>
      </w:r>
      <w:r>
        <w:rPr>
          <w:highlight w:val="none"/>
        </w:rPr>
        <w:t xml:space="preserve">5</w:t>
      </w:r>
      <w:r>
        <w:rPr>
          <w:highlight w:val="none"/>
        </w:rPr>
        <w:fldChar w:fldCharType="end"/>
      </w:r>
      <w:r>
        <w:rPr>
          <w:rFonts w:ascii="Times New Roman" w:hAnsi="Times New Roman"/>
          <w:highlight w:val="none"/>
        </w:rPr>
        <w:fldChar w:fldCharType="end"/>
      </w:r>
      <w:r>
        <w:rPr>
          <w:highlight w:val="none"/>
        </w:rPr>
      </w:r>
      <w:r/>
    </w:p>
    <w:p>
      <w:pPr>
        <w:pStyle w:val="109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_Toc12381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_Toc12381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109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_Toc31601 </w:instrText>
      </w:r>
      <w:r>
        <w:rPr>
          <w:rFonts w:ascii="Times New Roman" w:hAnsi="Times New Roman"/>
          <w:highlight w:val="none"/>
        </w:rPr>
        <w:fldChar w:fldCharType="separate"/>
      </w:r>
      <w:r>
        <w:rPr>
          <w:rFonts w:hint="eastAsia"/>
          <w:szCs w:val="36"/>
          <w:highlight w:val="none"/>
        </w:rPr>
        <w:t xml:space="preserve">第四章   </w:t>
      </w:r>
      <w:r>
        <w:rPr>
          <w:szCs w:val="36"/>
          <w:highlight w:val="none"/>
        </w:rPr>
        <w:t xml:space="preserve">采购需求</w:t>
      </w:r>
      <w:r>
        <w:rPr>
          <w:highlight w:val="none"/>
        </w:rPr>
        <w:tab/>
      </w:r>
      <w:r>
        <w:rPr>
          <w:rFonts w:ascii="Times New Roman" w:hAnsi="Times New Roman"/>
          <w:highlight w:val="none"/>
        </w:rPr>
        <w:fldChar w:fldCharType="end"/>
      </w:r>
      <w:r>
        <w:rPr>
          <w:rFonts w:hint="eastAsia" w:ascii="Times New Roman" w:hAnsi="Times New Roman"/>
          <w:highlight w:val="none"/>
        </w:rPr>
        <w:t xml:space="preserve">29</w:t>
      </w:r>
      <w:r>
        <w:rPr>
          <w:highlight w:val="none"/>
        </w:rPr>
      </w:r>
      <w:r/>
    </w:p>
    <w:p>
      <w:pPr>
        <w:pStyle w:val="1091"/>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_Toc18619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highlight w:val="none"/>
        </w:rPr>
        <w:fldChar w:fldCharType="begin"/>
      </w:r>
      <w:r>
        <w:rPr>
          <w:highlight w:val="none"/>
        </w:rPr>
        <w:instrText xml:space="preserve"> PAGEREF _Toc18619 \h </w:instrText>
      </w:r>
      <w:r>
        <w:rPr>
          <w:highlight w:val="none"/>
        </w:rPr>
        <w:fldChar w:fldCharType="separate"/>
      </w:r>
      <w:r>
        <w:rPr>
          <w:highlight w:val="none"/>
        </w:rPr>
        <w:t xml:space="preserve">34</w:t>
      </w:r>
      <w:r>
        <w:rPr>
          <w:highlight w:val="none"/>
        </w:rPr>
        <w:fldChar w:fldCharType="end"/>
      </w:r>
      <w:r>
        <w:rPr>
          <w:rFonts w:ascii="Times New Roman" w:hAnsi="Times New Roman"/>
          <w:highlight w:val="none"/>
        </w:rPr>
        <w:fldChar w:fldCharType="end"/>
      </w:r>
      <w:r>
        <w:rPr>
          <w:highlight w:val="none"/>
        </w:rPr>
      </w:r>
      <w:r/>
    </w:p>
    <w:p>
      <w:pPr>
        <w:pStyle w:val="1091"/>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091"/>
        <w:spacing w:line="360" w:lineRule="auto"/>
        <w:tabs>
          <w:tab w:val="left" w:pos="1050" w:leader="none"/>
          <w:tab w:val="right" w:pos="8937" w:leader="dot"/>
        </w:tabs>
        <w:rPr>
          <w:b w:val="0"/>
          <w:sz w:val="36"/>
          <w:szCs w:val="36"/>
          <w:highlight w:val="none"/>
        </w:rPr>
      </w:pPr>
      <w:r>
        <w:rPr>
          <w:b w:val="0"/>
          <w:sz w:val="36"/>
          <w:szCs w:val="36"/>
          <w:highlight w:val="none"/>
        </w:rPr>
      </w:r>
      <w:r/>
    </w:p>
    <w:p>
      <w:pPr>
        <w:pStyle w:val="1039"/>
        <w:jc w:val="center"/>
        <w:spacing w:line="360" w:lineRule="auto"/>
        <w:rPr>
          <w:b/>
          <w:sz w:val="36"/>
          <w:szCs w:val="36"/>
          <w:highlight w:val="none"/>
        </w:rPr>
        <w:sectPr>
          <w:footerReference w:type="default" r:id="rId16"/>
          <w:footnotePr/>
          <w:endnotePr/>
          <w:type w:val="nextPage"/>
          <w:pgSz w:w="11900" w:h="16832" w:orient="portrait"/>
          <w:pgMar w:top="1417" w:right="1417" w:bottom="1417" w:left="1417" w:header="850" w:footer="850" w:gutter="0"/>
          <w:pgNumType w:start="1"/>
          <w:cols w:num="1" w:sep="0" w:space="1701" w:equalWidth="1"/>
          <w:docGrid w:linePitch="360"/>
        </w:sectPr>
        <w:outlineLvl w:val="0"/>
      </w:pPr>
      <w:r>
        <w:rPr>
          <w:b/>
          <w:sz w:val="36"/>
          <w:szCs w:val="36"/>
          <w:highlight w:val="none"/>
        </w:rPr>
      </w:r>
      <w:r/>
    </w:p>
    <w:p>
      <w:pPr>
        <w:pStyle w:val="1039"/>
        <w:jc w:val="center"/>
        <w:spacing w:line="360" w:lineRule="auto"/>
        <w:rPr>
          <w:b/>
          <w:sz w:val="36"/>
          <w:szCs w:val="36"/>
          <w:highlight w:val="none"/>
        </w:rPr>
        <w:outlineLvl w:val="0"/>
      </w:pPr>
      <w:r/>
      <w:bookmarkStart w:id="2" w:name="_Toc1923"/>
      <w:r>
        <w:rPr>
          <w:b/>
          <w:sz w:val="36"/>
          <w:szCs w:val="36"/>
          <w:highlight w:val="none"/>
        </w:rPr>
        <w:t xml:space="preserve">第一章   采购邀请</w:t>
      </w:r>
      <w:bookmarkEnd w:id="2"/>
      <w:r/>
      <w:bookmarkStart w:id="3" w:name="_Toc35393621"/>
      <w:r/>
      <w:bookmarkStart w:id="4" w:name="_Toc35393790"/>
      <w:r/>
      <w:bookmarkStart w:id="5" w:name="_Toc28359079"/>
      <w:r/>
      <w:bookmarkStart w:id="6" w:name="_Toc28359002"/>
      <w:r/>
      <w:bookmarkStart w:id="7" w:name="_Hlk24379207"/>
      <w:r>
        <w:rPr>
          <w:b/>
          <w:sz w:val="36"/>
          <w:szCs w:val="36"/>
          <w:highlight w:val="none"/>
        </w:rPr>
      </w:r>
      <w:r/>
    </w:p>
    <w:p>
      <w:pPr>
        <w:pStyle w:val="1039"/>
        <w:ind w:firstLine="480"/>
        <w:spacing w:line="360" w:lineRule="auto"/>
        <w:rPr>
          <w:sz w:val="24"/>
          <w:highlight w:val="none"/>
        </w:rPr>
      </w:pPr>
      <w:r>
        <w:rPr>
          <w:sz w:val="24"/>
          <w:highlight w:val="none"/>
        </w:rPr>
      </w:r>
      <w:r/>
    </w:p>
    <w:p>
      <w:pPr>
        <w:pStyle w:val="1041"/>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3"/>
      <w:r/>
      <w:bookmarkEnd w:id="4"/>
      <w:r/>
      <w:bookmarkEnd w:id="5"/>
      <w:r/>
      <w:bookmarkEnd w:id="6"/>
      <w:r>
        <w:rPr>
          <w:rFonts w:ascii="Times New Roman" w:hAnsi="Times New Roman" w:eastAsia="宋体"/>
          <w:sz w:val="24"/>
          <w:szCs w:val="24"/>
          <w:highlight w:val="none"/>
        </w:rPr>
      </w:r>
      <w:r/>
    </w:p>
    <w:p>
      <w:pPr>
        <w:pStyle w:val="1039"/>
        <w:ind w:firstLine="480"/>
        <w:spacing w:line="360" w:lineRule="auto"/>
        <w:rPr>
          <w:sz w:val="24"/>
          <w:highlight w:val="none"/>
        </w:rPr>
      </w:pPr>
      <w:r>
        <w:rPr>
          <w:sz w:val="24"/>
          <w:highlight w:val="none"/>
        </w:rPr>
        <w:t xml:space="preserve">1.项目编号：</w:t>
      </w:r>
      <w:r>
        <w:rPr>
          <w:rFonts w:hint="eastAsia"/>
          <w:sz w:val="24"/>
          <w:highlight w:val="none"/>
        </w:rPr>
        <w:t xml:space="preserve">JSZC-320481-LCGL-C2025-0078</w:t>
      </w:r>
      <w:r>
        <w:rPr>
          <w:sz w:val="24"/>
          <w:highlight w:val="none"/>
        </w:rPr>
      </w:r>
      <w:r/>
    </w:p>
    <w:p>
      <w:pPr>
        <w:pStyle w:val="1039"/>
        <w:ind w:firstLine="480"/>
        <w:spacing w:line="360" w:lineRule="auto"/>
        <w:rPr>
          <w:rFonts w:hint="eastAsia"/>
          <w:sz w:val="24"/>
          <w:highlight w:val="none"/>
        </w:rPr>
      </w:pPr>
      <w:r>
        <w:rPr>
          <w:sz w:val="24"/>
          <w:highlight w:val="none"/>
        </w:rPr>
        <w:t xml:space="preserve">2.项目名称：</w:t>
      </w:r>
      <w:r>
        <w:rPr>
          <w:rFonts w:hint="eastAsia"/>
          <w:sz w:val="24"/>
          <w:highlight w:val="none"/>
        </w:rPr>
        <w:t xml:space="preserve">202</w:t>
      </w:r>
      <w:r>
        <w:rPr>
          <w:rFonts w:hint="eastAsia"/>
          <w:sz w:val="24"/>
          <w:highlight w:val="none"/>
          <w:lang w:val="en-US" w:eastAsia="zh-CN"/>
        </w:rPr>
        <w:t xml:space="preserve">6</w:t>
      </w:r>
      <w:r>
        <w:rPr>
          <w:rFonts w:hint="eastAsia"/>
          <w:sz w:val="24"/>
          <w:highlight w:val="none"/>
        </w:rPr>
        <w:t xml:space="preserve">年度溧阳市教育局机关食堂食材配送服务项目</w:t>
      </w:r>
      <w:r>
        <w:rPr>
          <w:rFonts w:hint="eastAsia"/>
          <w:sz w:val="24"/>
          <w:highlight w:val="none"/>
        </w:rPr>
      </w:r>
      <w:r/>
    </w:p>
    <w:p>
      <w:pPr>
        <w:pStyle w:val="1039"/>
        <w:ind w:firstLine="480"/>
        <w:spacing w:line="360" w:lineRule="auto"/>
        <w:rPr>
          <w:sz w:val="24"/>
          <w:highlight w:val="none"/>
        </w:rPr>
      </w:pPr>
      <w:r>
        <w:rPr>
          <w:sz w:val="24"/>
          <w:highlight w:val="none"/>
        </w:rPr>
        <w:t xml:space="preserve">3.采购方式：竞争性磋商</w:t>
      </w:r>
      <w:r>
        <w:rPr>
          <w:sz w:val="24"/>
          <w:highlight w:val="none"/>
        </w:rPr>
      </w:r>
      <w:r/>
    </w:p>
    <w:p>
      <w:pPr>
        <w:pStyle w:val="1039"/>
        <w:ind w:firstLine="480"/>
        <w:spacing w:line="360" w:lineRule="auto"/>
        <w:rPr>
          <w:sz w:val="24"/>
          <w:highlight w:val="none"/>
        </w:rPr>
      </w:pPr>
      <w:r/>
      <w:bookmarkEnd w:id="7"/>
      <w:r>
        <w:rPr>
          <w:sz w:val="24"/>
          <w:highlight w:val="none"/>
        </w:rPr>
        <w:t xml:space="preserve">4.项目预算金额：</w:t>
      </w:r>
      <w:r>
        <w:rPr>
          <w:rFonts w:hint="eastAsia"/>
          <w:sz w:val="24"/>
          <w:highlight w:val="none"/>
        </w:rPr>
        <w:t xml:space="preserve">8</w:t>
      </w:r>
      <w:r>
        <w:rPr>
          <w:rFonts w:hint="eastAsia"/>
          <w:sz w:val="24"/>
          <w:highlight w:val="none"/>
          <w:lang w:val="en-US" w:eastAsia="zh-CN"/>
        </w:rPr>
        <w:t xml:space="preserve">0</w:t>
      </w:r>
      <w:r>
        <w:rPr>
          <w:sz w:val="24"/>
          <w:highlight w:val="none"/>
        </w:rPr>
        <w:t xml:space="preserve">万元、项目最高限价：</w:t>
      </w:r>
      <w:r>
        <w:rPr>
          <w:rFonts w:hint="eastAsia"/>
          <w:sz w:val="24"/>
          <w:highlight w:val="none"/>
        </w:rPr>
        <w:t xml:space="preserve">8</w:t>
      </w:r>
      <w:r>
        <w:rPr>
          <w:rFonts w:hint="eastAsia"/>
          <w:sz w:val="24"/>
          <w:highlight w:val="none"/>
          <w:lang w:val="en-US" w:eastAsia="zh-CN"/>
        </w:rPr>
        <w:t xml:space="preserve">0</w:t>
      </w:r>
      <w:r>
        <w:rPr>
          <w:rFonts w:hint="eastAsia"/>
          <w:sz w:val="24"/>
          <w:highlight w:val="none"/>
        </w:rPr>
        <w:t xml:space="preserve">万元，按优惠率报价。</w:t>
      </w:r>
      <w:r>
        <w:rPr>
          <w:sz w:val="24"/>
          <w:highlight w:val="none"/>
        </w:rPr>
      </w:r>
      <w:r/>
    </w:p>
    <w:p>
      <w:pPr>
        <w:pStyle w:val="1039"/>
        <w:ind w:firstLine="480"/>
        <w:spacing w:line="360" w:lineRule="auto"/>
        <w:rPr>
          <w:sz w:val="24"/>
          <w:highlight w:val="none"/>
        </w:rPr>
      </w:pPr>
      <w:r>
        <w:rPr>
          <w:sz w:val="24"/>
          <w:highlight w:val="none"/>
        </w:rPr>
        <w:t xml:space="preserve">5.采购需求：</w:t>
      </w:r>
      <w:r>
        <w:rPr>
          <w:rFonts w:hint="eastAsia"/>
          <w:sz w:val="24"/>
          <w:highlight w:val="none"/>
        </w:rPr>
        <w:t xml:space="preserve">采购食堂所需各类食材、辅料等，并提供配送服务。采购的食材类别主要包括畜禽类、水产品类、果蔬类、乳及乳制品类、蛋及制品类、豆制品类、干货类、粮油类、调料类等。</w:t>
      </w:r>
      <w:r>
        <w:rPr>
          <w:sz w:val="24"/>
          <w:highlight w:val="none"/>
        </w:rPr>
      </w:r>
      <w:r/>
    </w:p>
    <w:p>
      <w:pPr>
        <w:pStyle w:val="1039"/>
        <w:ind w:firstLine="480"/>
        <w:spacing w:line="360" w:lineRule="auto"/>
        <w:rPr>
          <w:sz w:val="24"/>
          <w:highlight w:val="none"/>
          <w:u w:val="single"/>
        </w:rPr>
      </w:pPr>
      <w:r>
        <w:rPr>
          <w:sz w:val="24"/>
          <w:highlight w:val="none"/>
        </w:rPr>
        <w:t xml:space="preserve">6.合同履行期限：</w:t>
      </w:r>
      <w:r>
        <w:rPr>
          <w:rFonts w:hint="eastAsia"/>
          <w:sz w:val="24"/>
          <w:highlight w:val="none"/>
        </w:rPr>
        <w:t xml:space="preserve">一年</w:t>
      </w:r>
      <w:r>
        <w:rPr>
          <w:sz w:val="24"/>
          <w:highlight w:val="none"/>
          <w:u w:val="single"/>
        </w:rPr>
      </w:r>
      <w:r/>
    </w:p>
    <w:p>
      <w:pPr>
        <w:pStyle w:val="1039"/>
        <w:ind w:firstLine="480"/>
        <w:spacing w:line="360" w:lineRule="auto"/>
        <w:rPr>
          <w:sz w:val="24"/>
          <w:highlight w:val="none"/>
        </w:rPr>
      </w:pPr>
      <w:r>
        <w:rPr>
          <w:sz w:val="24"/>
          <w:highlight w:val="none"/>
        </w:rPr>
        <w:t xml:space="preserve">7.本项目是否接受联合体：否。</w:t>
      </w:r>
      <w:r>
        <w:rPr>
          <w:sz w:val="24"/>
          <w:highlight w:val="none"/>
        </w:rPr>
      </w:r>
      <w:r/>
    </w:p>
    <w:p>
      <w:pPr>
        <w:pStyle w:val="1039"/>
        <w:ind w:firstLine="480"/>
        <w:spacing w:line="360" w:lineRule="auto"/>
        <w:rPr>
          <w:sz w:val="24"/>
          <w:highlight w:val="none"/>
        </w:rPr>
      </w:pPr>
      <w:r/>
      <w:bookmarkStart w:id="8" w:name="_Toc28359003"/>
      <w:r/>
      <w:bookmarkStart w:id="9" w:name="_Toc35393622"/>
      <w:r/>
      <w:bookmarkStart w:id="10" w:name="_Toc35393791"/>
      <w:r/>
      <w:bookmarkStart w:id="11" w:name="_Toc28359080"/>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进口产品响应</w:t>
      </w:r>
      <w:r>
        <w:rPr>
          <w:sz w:val="24"/>
          <w:highlight w:val="none"/>
        </w:rPr>
        <w:t xml:space="preserve">：否。</w:t>
      </w:r>
      <w:r>
        <w:rPr>
          <w:sz w:val="24"/>
          <w:highlight w:val="none"/>
        </w:rPr>
      </w:r>
      <w:r/>
    </w:p>
    <w:p>
      <w:pPr>
        <w:pStyle w:val="1041"/>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8"/>
      <w:r/>
      <w:bookmarkEnd w:id="9"/>
      <w:r/>
      <w:bookmarkEnd w:id="10"/>
      <w:r/>
      <w:bookmarkEnd w:id="11"/>
      <w:r>
        <w:rPr>
          <w:rFonts w:ascii="Times New Roman" w:hAnsi="Times New Roman" w:eastAsia="宋体"/>
          <w:sz w:val="24"/>
          <w:szCs w:val="24"/>
          <w:highlight w:val="none"/>
        </w:rPr>
      </w:r>
      <w:r/>
    </w:p>
    <w:p>
      <w:pPr>
        <w:pStyle w:val="1039"/>
        <w:ind w:firstLine="480"/>
        <w:spacing w:line="360" w:lineRule="auto"/>
        <w:rPr>
          <w:rFonts w:hint="eastAsia"/>
          <w:sz w:val="24"/>
          <w:highlight w:val="none"/>
        </w:rPr>
      </w:pPr>
      <w:r/>
      <w:bookmarkStart w:id="12" w:name="_Toc28359081"/>
      <w:r/>
      <w:bookmarkStart w:id="13"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039"/>
        <w:ind w:firstLine="480"/>
        <w:spacing w:line="360" w:lineRule="auto"/>
        <w:rPr>
          <w:sz w:val="24"/>
          <w:highlight w:val="none"/>
        </w:rPr>
      </w:pPr>
      <w:r>
        <w:rPr>
          <w:rFonts w:hint="eastAsia"/>
          <w:sz w:val="24"/>
          <w:highlight w:val="none"/>
        </w:rPr>
        <w:t xml:space="preserve">1.1未被“信用中国”网站（WWW.creditchina.gov.cn）</w:t>
      </w:r>
      <w:r>
        <w:rPr>
          <w:rFonts w:hint="eastAsia"/>
          <w:sz w:val="24"/>
          <w:highlight w:val="none"/>
          <w:lang w:eastAsia="zh-CN"/>
        </w:rPr>
        <w:t xml:space="preserve">、</w:t>
      </w:r>
      <w:r>
        <w:rPr>
          <w:rFonts w:hint="eastAsia"/>
          <w:sz w:val="24"/>
          <w:highlight w:val="none"/>
        </w:rPr>
        <w:t xml:space="preserve">“中国政府采购网”网站（www.ccgp.gov.cn）列入失信被执行人、重大税收违法案件当事人名单、政府采购严重失信行为记录名单；</w:t>
      </w:r>
      <w:r>
        <w:rPr>
          <w:sz w:val="24"/>
          <w:highlight w:val="none"/>
        </w:rPr>
      </w:r>
      <w:r/>
    </w:p>
    <w:p>
      <w:pPr>
        <w:pStyle w:val="1039"/>
        <w:ind w:firstLine="480"/>
        <w:spacing w:line="360" w:lineRule="auto"/>
        <w:rPr>
          <w:sz w:val="24"/>
          <w:highlight w:val="none"/>
        </w:rPr>
      </w:pPr>
      <w:r>
        <w:rPr>
          <w:rFonts w:hint="eastAsia"/>
          <w:sz w:val="24"/>
          <w:highlight w:val="none"/>
        </w:rPr>
        <w:t xml:space="preserve">1.2单位负责人为同一人或者存在直接控股、管理关系的不同供应商，不得参加同一合同项下的政府采购活动。</w:t>
      </w:r>
      <w:r>
        <w:rPr>
          <w:sz w:val="24"/>
          <w:highlight w:val="none"/>
        </w:rPr>
      </w:r>
      <w:r/>
    </w:p>
    <w:p>
      <w:pPr>
        <w:pStyle w:val="1039"/>
        <w:ind w:firstLine="480"/>
        <w:spacing w:line="360" w:lineRule="auto"/>
        <w:rPr>
          <w:rFonts w:hint="eastAsia" w:ascii="宋体" w:hAnsi="宋体" w:eastAsia="宋体" w:cs="Times New Roman"/>
          <w:b/>
          <w:bCs/>
          <w:sz w:val="24"/>
          <w:highlight w:val="none"/>
        </w:rPr>
      </w:pPr>
      <w:r>
        <w:rPr>
          <w:sz w:val="24"/>
          <w:highlight w:val="none"/>
        </w:rPr>
        <w:t xml:space="preserve">2.落实政府采购政策需满足的资格要求：</w:t>
      </w:r>
      <w:r>
        <w:rPr>
          <w:rFonts w:hint="eastAsia" w:ascii="宋体" w:hAnsi="宋体" w:eastAsia="宋体" w:cs="Times New Roman"/>
          <w:b/>
          <w:bCs/>
          <w:sz w:val="24"/>
          <w:highlight w:val="none"/>
        </w:rPr>
        <w:t xml:space="preserve">本项目专门面向中小企业采购。即：提供的服务全部由符合政策要求的中小企业承接。监狱企业和残疾人福利单位视同小微企业。</w:t>
      </w:r>
      <w:r>
        <w:rPr>
          <w:rFonts w:hint="eastAsia" w:ascii="宋体" w:hAnsi="宋体" w:eastAsia="宋体" w:cs="Times New Roman"/>
          <w:b/>
          <w:bCs/>
          <w:sz w:val="24"/>
          <w:highlight w:val="none"/>
        </w:rPr>
      </w:r>
      <w:r/>
    </w:p>
    <w:p>
      <w:pPr>
        <w:pStyle w:val="1039"/>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1039"/>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3.1本项目是否接受分支机构参与响应：否；</w:t>
      </w:r>
      <w:r>
        <w:rPr>
          <w:rFonts w:hint="eastAsia"/>
          <w:sz w:val="24"/>
          <w:highlight w:val="none"/>
        </w:rPr>
      </w:r>
      <w:r/>
    </w:p>
    <w:p>
      <w:pPr>
        <w:pStyle w:val="1039"/>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rFonts w:ascii="宋体" w:hAnsi="宋体"/>
          <w:sz w:val="24"/>
          <w:highlight w:val="none"/>
        </w:rPr>
        <w:t xml:space="preserve">是，公益一类事业单位、使用事业编制且由财政拨款保障的群团组织，不得作为承接主体</w:t>
      </w:r>
      <w:r>
        <w:rPr>
          <w:sz w:val="24"/>
          <w:highlight w:val="none"/>
        </w:rPr>
        <w:t xml:space="preserve">；</w:t>
      </w:r>
      <w:r>
        <w:rPr>
          <w:sz w:val="24"/>
          <w:highlight w:val="none"/>
        </w:rPr>
      </w:r>
      <w:r/>
    </w:p>
    <w:p>
      <w:pPr>
        <w:pStyle w:val="1039"/>
        <w:ind w:firstLine="480"/>
        <w:spacing w:line="360" w:lineRule="auto"/>
        <w:rPr>
          <w:rFonts w:ascii="宋体" w:hAnsi="宋体" w:eastAsia="宋体" w:cs="Times New Roman"/>
          <w:sz w:val="24"/>
          <w:highlight w:val="none"/>
        </w:rPr>
      </w:pPr>
      <w:r>
        <w:rPr>
          <w:sz w:val="24"/>
          <w:highlight w:val="none"/>
        </w:rPr>
        <w:t xml:space="preserve">3.3其他特定资格要求：</w:t>
      </w:r>
      <w:r>
        <w:rPr>
          <w:rFonts w:hint="eastAsia" w:ascii="宋体" w:hAnsi="宋体" w:eastAsia="宋体" w:cs="Times New Roman"/>
          <w:sz w:val="24"/>
          <w:highlight w:val="none"/>
        </w:rPr>
        <w:t xml:space="preserve">具有合法有效的食品经营许可证或食品生产许可证</w:t>
      </w:r>
      <w:r>
        <w:rPr>
          <w:rFonts w:ascii="宋体" w:hAnsi="宋体" w:eastAsia="宋体" w:cs="Times New Roman"/>
          <w:sz w:val="24"/>
          <w:highlight w:val="none"/>
        </w:rPr>
      </w:r>
      <w:r/>
    </w:p>
    <w:p>
      <w:pPr>
        <w:pStyle w:val="1041"/>
        <w:jc w:val="left"/>
        <w:spacing w:before="0" w:line="360" w:lineRule="auto"/>
        <w:widowControl/>
        <w:rPr>
          <w:rFonts w:hint="eastAsia" w:ascii="Times New Roman" w:hAnsi="Times New Roman" w:eastAsia="宋体"/>
          <w:sz w:val="24"/>
          <w:szCs w:val="24"/>
          <w:highlight w:val="none"/>
        </w:rPr>
      </w:pPr>
      <w:r/>
      <w:bookmarkEnd w:id="12"/>
      <w:r/>
      <w:bookmarkEnd w:id="13"/>
      <w:r/>
      <w:bookmarkStart w:id="14" w:name="_Toc35393623"/>
      <w:r/>
      <w:bookmarkStart w:id="15" w:name="_Toc35393792"/>
      <w:r>
        <w:rPr>
          <w:rFonts w:ascii="Times New Roman" w:hAnsi="Times New Roman" w:eastAsia="宋体"/>
          <w:sz w:val="24"/>
          <w:szCs w:val="24"/>
          <w:highlight w:val="none"/>
        </w:rPr>
        <w:t xml:space="preserve">三、获取</w:t>
      </w:r>
      <w:bookmarkEnd w:id="14"/>
      <w:r/>
      <w:bookmarkEnd w:id="15"/>
      <w:r>
        <w:rPr>
          <w:rFonts w:hint="eastAsia" w:ascii="Times New Roman" w:hAnsi="Times New Roman" w:eastAsia="宋体"/>
          <w:sz w:val="24"/>
          <w:szCs w:val="24"/>
          <w:highlight w:val="none"/>
        </w:rPr>
        <w:t xml:space="preserve">竞争性磋商文件</w:t>
      </w:r>
      <w:r>
        <w:rPr>
          <w:rFonts w:hint="eastAsia" w:ascii="Times New Roman" w:hAnsi="Times New Roman" w:eastAsia="宋体"/>
          <w:sz w:val="24"/>
          <w:szCs w:val="24"/>
          <w:highlight w:val="none"/>
        </w:rPr>
      </w:r>
      <w:r/>
    </w:p>
    <w:p>
      <w:pPr>
        <w:pStyle w:val="1039"/>
        <w:ind w:firstLine="480"/>
        <w:spacing w:line="360" w:lineRule="auto"/>
        <w:rPr>
          <w:rFonts w:hint="eastAsia" w:ascii="宋体" w:hAnsi="宋体" w:cs="宋体"/>
          <w:color w:val="000000"/>
          <w:sz w:val="24"/>
          <w:highlight w:val="none"/>
        </w:rPr>
      </w:pPr>
      <w:r>
        <w:rPr>
          <w:sz w:val="24"/>
          <w:highlight w:val="none"/>
          <w:lang w:bidi="ar"/>
        </w:rPr>
        <w:t xml:space="preserve">1.时间：</w:t>
      </w:r>
      <w:r>
        <w:rPr>
          <w:rFonts w:hint="eastAsia" w:ascii="Times New Roman" w:eastAsia="宋体"/>
          <w:color w:val="000000"/>
          <w:sz w:val="24"/>
          <w:highlight w:val="none"/>
          <w:lang w:val="en-US" w:eastAsia="zh-CN" w:bidi="ar"/>
        </w:rPr>
        <w:t xml:space="preserve">自</w:t>
      </w:r>
      <w:r>
        <w:rPr>
          <w:rFonts w:hint="eastAsia" w:ascii="Times New Roman" w:eastAsia="宋体"/>
          <w:color w:val="000000"/>
          <w:sz w:val="24"/>
          <w:highlight w:val="none"/>
          <w:lang w:val="en-US" w:eastAsia="zh-CN"/>
        </w:rPr>
        <w:t xml:space="preserve">磋商公告发布之日起5个工作日</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9"/>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“苏采云”政府采购一体化平台</w:t>
      </w:r>
      <w:r>
        <w:rPr>
          <w:sz w:val="24"/>
          <w:highlight w:val="none"/>
        </w:rPr>
      </w:r>
      <w:r/>
    </w:p>
    <w:p>
      <w:pPr>
        <w:pStyle w:val="1039"/>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供应商持CA数字认证证书登录“苏采云”获取电子版竞争性磋商文件。</w:t>
      </w:r>
      <w:r>
        <w:rPr>
          <w:sz w:val="24"/>
          <w:highlight w:val="none"/>
          <w:lang w:bidi="ar"/>
        </w:rPr>
      </w:r>
      <w:r/>
    </w:p>
    <w:p>
      <w:pPr>
        <w:pStyle w:val="1039"/>
        <w:ind w:firstLine="480"/>
        <w:jc w:val="left"/>
        <w:spacing w:line="360" w:lineRule="auto"/>
        <w:widowControl/>
        <w:rPr>
          <w:rFonts w:ascii="宋体" w:hAnsi="宋体"/>
          <w:sz w:val="24"/>
          <w:highlight w:val="none"/>
        </w:rPr>
      </w:pPr>
      <w:r>
        <w:rPr>
          <w:sz w:val="24"/>
          <w:highlight w:val="none"/>
          <w:lang w:bidi="ar"/>
        </w:rPr>
        <w:t xml:space="preserve">4.售价：0元。</w:t>
      </w:r>
      <w:r>
        <w:rPr>
          <w:rFonts w:ascii="宋体" w:hAnsi="宋体"/>
          <w:sz w:val="24"/>
          <w:highlight w:val="none"/>
        </w:rPr>
      </w:r>
      <w:r/>
    </w:p>
    <w:p>
      <w:pPr>
        <w:pStyle w:val="1041"/>
        <w:jc w:val="left"/>
        <w:spacing w:before="0" w:line="360" w:lineRule="auto"/>
        <w:widowControl/>
        <w:rPr>
          <w:rFonts w:ascii="宋体" w:hAnsi="宋体" w:eastAsia="宋体"/>
          <w:sz w:val="24"/>
          <w:szCs w:val="24"/>
          <w:highlight w:val="none"/>
        </w:rPr>
      </w:pPr>
      <w:r/>
      <w:bookmarkStart w:id="16" w:name="_Toc35393793"/>
      <w:r/>
      <w:bookmarkStart w:id="17" w:name="_Toc35393624"/>
      <w:r/>
      <w:bookmarkStart w:id="18" w:name="_Toc28359005"/>
      <w:r/>
      <w:bookmarkStart w:id="19" w:name="_Toc28359082"/>
      <w:r>
        <w:rPr>
          <w:rFonts w:ascii="宋体" w:hAnsi="宋体" w:eastAsia="宋体"/>
          <w:sz w:val="24"/>
          <w:szCs w:val="24"/>
          <w:highlight w:val="none"/>
        </w:rPr>
        <w:t xml:space="preserve">四、</w:t>
      </w:r>
      <w:bookmarkEnd w:id="16"/>
      <w:r/>
      <w:bookmarkEnd w:id="17"/>
      <w:r/>
      <w:bookmarkEnd w:id="18"/>
      <w:r/>
      <w:bookmarkEnd w:id="19"/>
      <w:r>
        <w:rPr>
          <w:rFonts w:ascii="宋体" w:hAnsi="宋体" w:eastAsia="宋体"/>
          <w:sz w:val="24"/>
          <w:szCs w:val="24"/>
          <w:highlight w:val="none"/>
        </w:rPr>
        <w:t xml:space="preserve">响应文件提交</w:t>
      </w:r>
      <w:r>
        <w:rPr>
          <w:rFonts w:ascii="宋体" w:hAnsi="宋体" w:eastAsia="宋体"/>
          <w:sz w:val="24"/>
          <w:szCs w:val="24"/>
          <w:highlight w:val="none"/>
        </w:rPr>
      </w:r>
      <w:r/>
    </w:p>
    <w:p>
      <w:pPr>
        <w:pStyle w:val="1039"/>
        <w:ind w:firstLine="480"/>
        <w:spacing w:line="360" w:lineRule="auto"/>
        <w:rPr>
          <w:bCs/>
          <w:sz w:val="24"/>
          <w:highlight w:val="none"/>
          <w:u w:val="single"/>
        </w:rPr>
      </w:pPr>
      <w:r>
        <w:rPr>
          <w:sz w:val="24"/>
          <w:highlight w:val="none"/>
          <w:lang w:bidi="ar"/>
        </w:rPr>
        <w:t xml:space="preserve">截止时间：</w:t>
      </w:r>
      <w:r>
        <w:rPr>
          <w:rFonts w:hint="eastAsia"/>
          <w:sz w:val="24"/>
          <w:highlight w:val="none"/>
        </w:rPr>
        <w:t xml:space="preserve">202</w:t>
      </w:r>
      <w:r>
        <w:rPr>
          <w:rFonts w:hint="eastAsia"/>
          <w:sz w:val="24"/>
          <w:highlight w:val="none"/>
          <w:lang w:val="en-US" w:eastAsia="zh-CN"/>
        </w:rPr>
        <w:t xml:space="preserve">5</w:t>
      </w:r>
      <w:r>
        <w:rPr>
          <w:sz w:val="24"/>
          <w:highlight w:val="none"/>
          <w:lang w:bidi="ar"/>
        </w:rPr>
        <w:t xml:space="preserve">年</w:t>
      </w:r>
      <w:r>
        <w:rPr>
          <w:rFonts w:hint="eastAsia"/>
          <w:sz w:val="24"/>
          <w:highlight w:val="none"/>
          <w:lang w:val="en-US" w:eastAsia="zh-CN" w:bidi="ar"/>
        </w:rPr>
        <w:t xml:space="preserve">12</w:t>
      </w:r>
      <w:r>
        <w:rPr>
          <w:sz w:val="24"/>
          <w:highlight w:val="none"/>
          <w:lang w:bidi="ar"/>
        </w:rPr>
        <w:t xml:space="preserve">月</w:t>
      </w:r>
      <w:r>
        <w:rPr>
          <w:rFonts w:hint="eastAsia"/>
          <w:sz w:val="24"/>
          <w:highlight w:val="none"/>
          <w:lang w:val="en-US" w:eastAsia="zh-CN" w:bidi="ar"/>
        </w:rPr>
        <w:t xml:space="preserve">19</w:t>
      </w:r>
      <w:r>
        <w:rPr>
          <w:sz w:val="24"/>
          <w:highlight w:val="none"/>
          <w:lang w:bidi="ar"/>
        </w:rPr>
        <w:t xml:space="preserve">日</w:t>
      </w:r>
      <w:r>
        <w:rPr>
          <w:rFonts w:hint="eastAsia"/>
          <w:sz w:val="24"/>
          <w:highlight w:val="none"/>
        </w:rPr>
        <w:t xml:space="preserve">9</w:t>
      </w:r>
      <w:r>
        <w:rPr>
          <w:rFonts w:hint="eastAsia"/>
          <w:sz w:val="24"/>
          <w:highlight w:val="none"/>
          <w:lang w:bidi="ar"/>
        </w:rPr>
        <w:t xml:space="preserve">时</w:t>
      </w:r>
      <w:r>
        <w:rPr>
          <w:rFonts w:hint="eastAsia"/>
          <w:sz w:val="24"/>
          <w:highlight w:val="none"/>
        </w:rPr>
        <w:t xml:space="preserve">30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039"/>
        <w:ind w:firstLine="480"/>
        <w:spacing w:line="360" w:lineRule="auto"/>
        <w:rPr>
          <w:rFonts w:ascii="宋体" w:hAnsi="宋体"/>
          <w:sz w:val="24"/>
          <w:highlight w:val="none"/>
          <w:lang w:val="zh-TW" w:bidi="ar"/>
        </w:rPr>
      </w:pPr>
      <w:r>
        <w:rPr>
          <w:sz w:val="24"/>
          <w:highlight w:val="none"/>
          <w:lang w:bidi="ar"/>
        </w:rPr>
        <w:t xml:space="preserve">地点：</w:t>
      </w:r>
      <w:r>
        <w:rPr>
          <w:rFonts w:hint="eastAsia" w:ascii="宋体" w:hAnsi="宋体" w:eastAsia="宋体" w:cs="宋体"/>
          <w:color w:val="000000"/>
          <w:sz w:val="24"/>
          <w:highlight w:val="none"/>
        </w:rPr>
        <w:t xml:space="preserve">本项目采用不见面交易方式，无需到现场提交，供应商登录“苏采云”政府采购一体化平台供应商端，通过系统在线提交电子响应文件</w:t>
      </w:r>
      <w:r>
        <w:rPr>
          <w:rFonts w:ascii="Times New Roman" w:hAnsi="Times New Roman" w:eastAsia="宋体" w:cs="Times New Roman"/>
          <w:color w:val="000000"/>
          <w:sz w:val="24"/>
          <w:highlight w:val="none"/>
          <w:lang w:val="zh-TW" w:bidi="ar"/>
        </w:rPr>
        <w:t xml:space="preserve">。</w:t>
      </w:r>
      <w:r>
        <w:rPr>
          <w:rFonts w:ascii="宋体" w:hAnsi="宋体"/>
          <w:sz w:val="24"/>
          <w:highlight w:val="none"/>
          <w:lang w:val="zh-TW" w:bidi="ar"/>
        </w:rPr>
      </w:r>
      <w:r/>
    </w:p>
    <w:p>
      <w:pPr>
        <w:pStyle w:val="1041"/>
        <w:jc w:val="left"/>
        <w:spacing w:before="0" w:line="360" w:lineRule="auto"/>
        <w:rPr>
          <w:rFonts w:ascii="宋体" w:hAnsi="宋体" w:eastAsia="宋体"/>
          <w:sz w:val="24"/>
          <w:szCs w:val="24"/>
          <w:highlight w:val="none"/>
        </w:rPr>
      </w:pPr>
      <w:r>
        <w:rPr>
          <w:rFonts w:ascii="宋体" w:hAnsi="宋体" w:eastAsia="宋体"/>
          <w:sz w:val="24"/>
          <w:szCs w:val="24"/>
          <w:highlight w:val="none"/>
        </w:rPr>
        <w:t xml:space="preserve">五、开启</w:t>
      </w:r>
      <w:r>
        <w:rPr>
          <w:rFonts w:ascii="宋体" w:hAnsi="宋体" w:eastAsia="宋体"/>
          <w:sz w:val="24"/>
          <w:szCs w:val="24"/>
          <w:highlight w:val="none"/>
        </w:rPr>
      </w:r>
      <w:r/>
    </w:p>
    <w:p>
      <w:pPr>
        <w:pStyle w:val="1039"/>
        <w:ind w:firstLine="480"/>
        <w:spacing w:line="360" w:lineRule="auto"/>
        <w:rPr>
          <w:bCs/>
          <w:sz w:val="24"/>
          <w:highlight w:val="none"/>
          <w:u w:val="single"/>
        </w:rPr>
      </w:pPr>
      <w:r>
        <w:rPr>
          <w:sz w:val="24"/>
          <w:highlight w:val="none"/>
          <w:lang w:bidi="ar"/>
        </w:rPr>
        <w:t xml:space="preserve">截止时间：</w:t>
      </w:r>
      <w:r>
        <w:rPr>
          <w:rFonts w:hint="eastAsia"/>
          <w:sz w:val="24"/>
          <w:highlight w:val="none"/>
        </w:rPr>
        <w:t xml:space="preserve">202</w:t>
      </w:r>
      <w:r>
        <w:rPr>
          <w:rFonts w:hint="eastAsia"/>
          <w:sz w:val="24"/>
          <w:highlight w:val="none"/>
          <w:lang w:val="en-US" w:eastAsia="zh-CN"/>
        </w:rPr>
        <w:t xml:space="preserve">5</w:t>
      </w:r>
      <w:r>
        <w:rPr>
          <w:sz w:val="24"/>
          <w:highlight w:val="none"/>
          <w:lang w:bidi="ar"/>
        </w:rPr>
        <w:t xml:space="preserve">年</w:t>
      </w:r>
      <w:r>
        <w:rPr>
          <w:rFonts w:hint="eastAsia"/>
          <w:sz w:val="24"/>
          <w:highlight w:val="none"/>
          <w:lang w:val="en-US" w:eastAsia="zh-CN" w:bidi="ar"/>
        </w:rPr>
        <w:t xml:space="preserve">12</w:t>
      </w:r>
      <w:r>
        <w:rPr>
          <w:sz w:val="24"/>
          <w:highlight w:val="none"/>
          <w:lang w:bidi="ar"/>
        </w:rPr>
        <w:t xml:space="preserve">月</w:t>
      </w:r>
      <w:r>
        <w:rPr>
          <w:rFonts w:hint="eastAsia"/>
          <w:sz w:val="24"/>
          <w:highlight w:val="none"/>
          <w:lang w:val="en-US" w:eastAsia="zh-CN" w:bidi="ar"/>
        </w:rPr>
        <w:t xml:space="preserve">19</w:t>
      </w:r>
      <w:r>
        <w:rPr>
          <w:sz w:val="24"/>
          <w:highlight w:val="none"/>
          <w:lang w:bidi="ar"/>
        </w:rPr>
        <w:t xml:space="preserve">日</w:t>
      </w:r>
      <w:r>
        <w:rPr>
          <w:rFonts w:hint="eastAsia"/>
          <w:sz w:val="24"/>
          <w:highlight w:val="none"/>
        </w:rPr>
        <w:t xml:space="preserve">9</w:t>
      </w:r>
      <w:r>
        <w:rPr>
          <w:rFonts w:hint="eastAsia"/>
          <w:sz w:val="24"/>
          <w:highlight w:val="none"/>
          <w:lang w:bidi="ar"/>
        </w:rPr>
        <w:t xml:space="preserve">时</w:t>
      </w:r>
      <w:r>
        <w:rPr>
          <w:rFonts w:hint="eastAsia"/>
          <w:sz w:val="24"/>
          <w:highlight w:val="none"/>
        </w:rPr>
        <w:t xml:space="preserve">30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039"/>
        <w:ind w:firstLine="480"/>
        <w:spacing w:line="360" w:lineRule="auto"/>
        <w:rPr>
          <w:rFonts w:ascii="宋体" w:hAnsi="宋体"/>
          <w:bCs/>
          <w:sz w:val="24"/>
          <w:highlight w:val="none"/>
          <w:u w:val="single"/>
        </w:rPr>
      </w:pPr>
      <w:r>
        <w:rPr>
          <w:sz w:val="24"/>
          <w:highlight w:val="none"/>
          <w:lang w:bidi="ar"/>
        </w:rPr>
        <w:t xml:space="preserve">地点：</w:t>
      </w:r>
      <w:r>
        <w:rPr>
          <w:rFonts w:hint="eastAsia" w:ascii="宋体" w:hAnsi="宋体" w:eastAsia="宋体" w:cs="宋体"/>
          <w:color w:val="000000"/>
          <w:sz w:val="24"/>
          <w:highlight w:val="none"/>
        </w:rPr>
        <w:t xml:space="preserve">本项目采用不见面交易方式，无需到现场提交，供应商登录“苏采云”政府采购一体化平台供应商端，通过系统在线提交电子响应文件</w:t>
      </w:r>
      <w:r>
        <w:rPr>
          <w:rFonts w:ascii="Times New Roman" w:hAnsi="Times New Roman" w:eastAsia="宋体" w:cs="Times New Roman"/>
          <w:color w:val="000000"/>
          <w:sz w:val="24"/>
          <w:highlight w:val="none"/>
          <w:lang w:val="zh-TW" w:bidi="ar"/>
        </w:rPr>
        <w:t xml:space="preserve">。</w:t>
      </w:r>
      <w:r>
        <w:rPr>
          <w:rFonts w:ascii="宋体" w:hAnsi="宋体"/>
          <w:bCs/>
          <w:sz w:val="24"/>
          <w:highlight w:val="none"/>
          <w:u w:val="single"/>
        </w:rPr>
      </w:r>
      <w:r/>
    </w:p>
    <w:p>
      <w:pPr>
        <w:pStyle w:val="1041"/>
        <w:jc w:val="left"/>
        <w:spacing w:before="0" w:line="360" w:lineRule="auto"/>
        <w:rPr>
          <w:rFonts w:ascii="宋体" w:hAnsi="宋体" w:eastAsia="宋体"/>
          <w:sz w:val="24"/>
          <w:szCs w:val="24"/>
          <w:highlight w:val="none"/>
        </w:rPr>
      </w:pPr>
      <w:r/>
      <w:bookmarkStart w:id="20" w:name="_Toc35393625"/>
      <w:r/>
      <w:bookmarkStart w:id="21" w:name="_Toc28359084"/>
      <w:r/>
      <w:bookmarkStart w:id="22" w:name="_Toc35393794"/>
      <w:r/>
      <w:bookmarkStart w:id="23" w:name="_Toc28359007"/>
      <w:r>
        <w:rPr>
          <w:rFonts w:ascii="宋体" w:hAnsi="宋体" w:eastAsia="宋体"/>
          <w:sz w:val="24"/>
          <w:szCs w:val="24"/>
          <w:highlight w:val="none"/>
        </w:rPr>
        <w:t xml:space="preserve">六、公告期限</w:t>
      </w:r>
      <w:bookmarkEnd w:id="20"/>
      <w:r/>
      <w:bookmarkEnd w:id="21"/>
      <w:r/>
      <w:bookmarkEnd w:id="22"/>
      <w:r/>
      <w:bookmarkEnd w:id="23"/>
      <w:r>
        <w:rPr>
          <w:rFonts w:ascii="宋体" w:hAnsi="宋体" w:eastAsia="宋体"/>
          <w:sz w:val="24"/>
          <w:szCs w:val="24"/>
          <w:highlight w:val="none"/>
        </w:rPr>
      </w:r>
      <w:r/>
    </w:p>
    <w:p>
      <w:pPr>
        <w:pStyle w:val="1039"/>
        <w:ind w:firstLine="480"/>
        <w:spacing w:line="360" w:lineRule="auto"/>
        <w:rPr>
          <w:rFonts w:ascii="宋体" w:hAnsi="宋体"/>
          <w:sz w:val="24"/>
          <w:highlight w:val="none"/>
        </w:rPr>
      </w:pPr>
      <w:r>
        <w:rPr>
          <w:rFonts w:ascii="宋体" w:hAnsi="宋体"/>
          <w:sz w:val="24"/>
          <w:highlight w:val="none"/>
        </w:rPr>
        <w:t xml:space="preserve">自本公告发布之日起3个工作日。</w:t>
      </w:r>
      <w:r>
        <w:rPr>
          <w:rFonts w:ascii="宋体" w:hAnsi="宋体"/>
          <w:sz w:val="24"/>
          <w:highlight w:val="none"/>
        </w:rPr>
      </w:r>
      <w:r/>
    </w:p>
    <w:p>
      <w:pPr>
        <w:pStyle w:val="1041"/>
        <w:jc w:val="left"/>
        <w:spacing w:before="0" w:line="360" w:lineRule="auto"/>
        <w:rPr>
          <w:rFonts w:ascii="宋体" w:hAnsi="宋体" w:eastAsia="宋体"/>
          <w:sz w:val="24"/>
          <w:szCs w:val="24"/>
          <w:highlight w:val="none"/>
        </w:rPr>
      </w:pPr>
      <w:r/>
      <w:bookmarkStart w:id="24" w:name="_Toc35393795"/>
      <w:r/>
      <w:bookmarkStart w:id="25" w:name="_Toc35393626"/>
      <w:r>
        <w:rPr>
          <w:rFonts w:ascii="宋体" w:hAnsi="宋体" w:eastAsia="宋体"/>
          <w:sz w:val="24"/>
          <w:szCs w:val="24"/>
          <w:highlight w:val="none"/>
        </w:rPr>
        <w:t xml:space="preserve">七、其他补充事宜</w:t>
      </w:r>
      <w:bookmarkEnd w:id="24"/>
      <w:r/>
      <w:bookmarkEnd w:id="25"/>
      <w:r>
        <w:rPr>
          <w:rFonts w:ascii="宋体" w:hAnsi="宋体" w:eastAsia="宋体"/>
          <w:sz w:val="24"/>
          <w:szCs w:val="24"/>
          <w:highlight w:val="none"/>
        </w:rPr>
      </w:r>
      <w:r/>
    </w:p>
    <w:p>
      <w:pPr>
        <w:pStyle w:val="1039"/>
        <w:ind w:firstLine="480"/>
        <w:spacing w:line="360" w:lineRule="auto"/>
        <w:rPr>
          <w:rFonts w:ascii="Times New Roman" w:hAnsi="Times New Roman" w:eastAsia="宋体" w:cs="Times New Roman"/>
          <w:sz w:val="24"/>
          <w:highlight w:val="none"/>
        </w:rPr>
      </w:pPr>
      <w:r/>
      <w:bookmarkStart w:id="26" w:name="_Toc28359008"/>
      <w:r/>
      <w:bookmarkStart w:id="27" w:name="_Toc35393627"/>
      <w:r/>
      <w:bookmarkStart w:id="28" w:name="_Toc35393796"/>
      <w:r/>
      <w:bookmarkStart w:id="29" w:name="_Toc28359085"/>
      <w:r>
        <w:rPr>
          <w:rFonts w:ascii="Times New Roman" w:hAnsi="Times New Roman" w:eastAsia="宋体" w:cs="Times New Roman"/>
          <w:sz w:val="24"/>
          <w:highlight w:val="none"/>
        </w:rPr>
        <w:t xml:space="preserve">1.本项目</w:t>
      </w:r>
      <w:r>
        <w:rPr>
          <w:rFonts w:ascii="Times New Roman" w:hAnsi="Times New Roman" w:eastAsia="宋体" w:cs="Times New Roman"/>
          <w:sz w:val="24"/>
          <w:highlight w:val="none"/>
        </w:rPr>
        <w:t xml:space="preserve">需要落实的政</w:t>
      </w:r>
      <w:r>
        <w:rPr>
          <w:rFonts w:ascii="Times New Roman" w:hAnsi="Times New Roman" w:eastAsia="宋体" w:cs="Times New Roman"/>
          <w:sz w:val="24"/>
          <w:highlight w:val="none"/>
        </w:rPr>
        <w:t xml:space="preserve">府采购政策：</w:t>
      </w:r>
      <w:r>
        <w:rPr>
          <w:rFonts w:hint="eastAsia" w:ascii="Times New Roman" w:hAnsi="Times New Roman" w:eastAsia="宋体" w:cs="Times New Roman"/>
          <w:sz w:val="24"/>
          <w:highlight w:val="none"/>
        </w:rPr>
        <w:t xml:space="preserve">扶持中小企业、残疾人福利单位、监狱企业</w:t>
      </w:r>
      <w:r>
        <w:rPr>
          <w:rFonts w:ascii="Times New Roman" w:hAnsi="Times New Roman" w:eastAsia="宋体" w:cs="Times New Roman"/>
          <w:sz w:val="24"/>
          <w:highlight w:val="none"/>
          <w:lang w:bidi="ar"/>
        </w:rPr>
        <w:t xml:space="preserve">。</w:t>
      </w:r>
      <w:r>
        <w:rPr>
          <w:rFonts w:ascii="Times New Roman" w:hAnsi="Times New Roman" w:eastAsia="宋体" w:cs="Times New Roman"/>
          <w:sz w:val="24"/>
          <w:highlight w:val="none"/>
        </w:rPr>
      </w:r>
      <w:r/>
    </w:p>
    <w:p>
      <w:pPr>
        <w:pStyle w:val="1039"/>
        <w:ind w:firstLine="480"/>
        <w:jc w:val="left"/>
        <w:spacing w:line="360" w:lineRule="auto"/>
        <w:widowControl/>
        <w:rPr>
          <w:rFonts w:ascii="Times New Roman" w:hAnsi="Times New Roman" w:eastAsia="宋体" w:cs="Times New Roman"/>
          <w:bCs/>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.本项目采用</w:t>
      </w:r>
      <w:r>
        <w:rPr>
          <w:rFonts w:hint="eastAsia" w:ascii="Times New Roman" w:hAnsi="Times New Roman" w:eastAsia="宋体" w:cs="Times New Roman"/>
          <w:color w:val="000000"/>
          <w:sz w:val="24"/>
          <w:highlight w:val="none"/>
          <w:lang w:bidi="ar"/>
        </w:rPr>
        <w:t xml:space="preserve">不见面交易</w:t>
      </w:r>
      <w:r>
        <w:rPr>
          <w:rFonts w:ascii="Times New Roman" w:hAnsi="Times New Roman" w:eastAsia="宋体" w:cs="Times New Roman"/>
          <w:color w:val="000000"/>
          <w:sz w:val="24"/>
          <w:highlight w:val="none"/>
          <w:lang w:bidi="ar"/>
        </w:rPr>
        <w:t xml:space="preserve">方式，请供应商认真学习</w:t>
      </w:r>
      <w:r>
        <w:rPr>
          <w:rFonts w:hint="eastAsia" w:ascii="宋体" w:hAnsi="宋体" w:eastAsia="宋体" w:cs="宋体"/>
          <w:color w:val="000000"/>
          <w:sz w:val="24"/>
          <w:highlight w:val="none"/>
        </w:rPr>
        <w:t xml:space="preserve">“苏采云”</w:t>
      </w:r>
      <w:r>
        <w:rPr>
          <w:rFonts w:ascii="Times New Roman" w:hAnsi="Times New Roman" w:eastAsia="宋体" w:cs="Times New Roman"/>
          <w:color w:val="000000"/>
          <w:sz w:val="24"/>
          <w:highlight w:val="none"/>
          <w:lang w:bidi="ar"/>
        </w:rPr>
        <w:t xml:space="preserve">的相关操作手册，办理CA认证证书、进行</w:t>
      </w:r>
      <w:r>
        <w:rPr>
          <w:rFonts w:hint="eastAsia" w:ascii="宋体" w:hAnsi="宋体" w:eastAsia="宋体" w:cs="宋体"/>
          <w:color w:val="000000"/>
          <w:sz w:val="24"/>
          <w:highlight w:val="none"/>
        </w:rPr>
        <w:t xml:space="preserve">“苏采云”政府采购一体化平台</w:t>
      </w:r>
      <w:r>
        <w:rPr>
          <w:rFonts w:ascii="Times New Roman" w:hAnsi="Times New Roman" w:eastAsia="宋体" w:cs="Times New Roman"/>
          <w:color w:val="000000"/>
          <w:sz w:val="24"/>
          <w:highlight w:val="none"/>
          <w:lang w:bidi="ar"/>
        </w:rPr>
        <w:t xml:space="preserve">注册绑定，并认真核实</w:t>
      </w:r>
      <w:r>
        <w:rPr>
          <w:rFonts w:ascii="Times New Roman" w:hAnsi="Times New Roman" w:eastAsia="宋体" w:cs="Times New Roman"/>
          <w:bCs/>
          <w:color w:val="000000"/>
          <w:sz w:val="24"/>
          <w:highlight w:val="none"/>
          <w:lang w:bidi="ar"/>
        </w:rPr>
        <w:t xml:space="preserve">数字认证证书情况确认是否符合本项目电子化采购流程要求。</w:t>
      </w:r>
      <w:r>
        <w:rPr>
          <w:rFonts w:ascii="Times New Roman" w:hAnsi="Times New Roman" w:eastAsia="宋体" w:cs="Times New Roman"/>
          <w:bCs/>
          <w:color w:val="000000"/>
          <w:sz w:val="24"/>
          <w:highlight w:val="none"/>
          <w:lang w:bidi="ar"/>
        </w:rPr>
      </w:r>
      <w:r/>
    </w:p>
    <w:p>
      <w:pPr>
        <w:pStyle w:val="1039"/>
        <w:ind w:firstLine="48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技术保障服务</w:t>
      </w:r>
      <w:r>
        <w:rPr>
          <w:rFonts w:hint="eastAsia" w:ascii="Times New Roman" w:hAnsi="Times New Roman" w:eastAsia="宋体" w:cs="Times New Roman"/>
          <w:color w:val="000000"/>
          <w:sz w:val="24"/>
          <w:highlight w:val="none"/>
          <w:lang w:eastAsia="zh-CN" w:bidi="ar"/>
        </w:rPr>
        <w:t xml:space="preserve">：</w:t>
      </w:r>
      <w:r>
        <w:rPr>
          <w:rFonts w:hint="eastAsia" w:ascii="Times New Roman" w:hAnsi="Times New Roman" w:eastAsia="宋体" w:cs="Times New Roman"/>
          <w:color w:val="000000"/>
          <w:sz w:val="24"/>
          <w:highlight w:val="none"/>
          <w:lang w:bidi="ar"/>
        </w:rPr>
        <w:t xml:space="preserve">“苏采云”系统使用期间，由系统开发商江苏富深协通科技股份有限公司提供技术保障服务，指导软件操作，维护系统稳定运行。</w:t>
      </w:r>
      <w:r>
        <w:rPr>
          <w:rFonts w:hint="eastAsia" w:ascii="Times New Roman" w:hAnsi="Times New Roman" w:eastAsia="宋体" w:cs="Times New Roman"/>
          <w:color w:val="000000"/>
          <w:sz w:val="24"/>
          <w:highlight w:val="none"/>
          <w:lang w:bidi="ar"/>
        </w:rPr>
      </w:r>
      <w:r/>
    </w:p>
    <w:p>
      <w:pPr>
        <w:pStyle w:val="1039"/>
        <w:ind w:firstLine="480"/>
        <w:spacing w:line="360" w:lineRule="auto"/>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运维保障联系方式：</w:t>
      </w:r>
      <w:r>
        <w:rPr>
          <w:rFonts w:hint="eastAsia" w:ascii="Times New Roman" w:hAnsi="Times New Roman" w:eastAsia="宋体" w:cs="Times New Roman"/>
          <w:color w:val="000000"/>
          <w:sz w:val="24"/>
          <w:highlight w:val="none"/>
          <w:lang w:val="en-US" w:eastAsia="zh-CN" w:bidi="ar"/>
        </w:rPr>
        <w:t xml:space="preserve">0519-8</w:t>
      </w:r>
      <w:r>
        <w:rPr>
          <w:rFonts w:hint="eastAsia" w:ascii="Times New Roman" w:hAnsi="Times New Roman" w:eastAsia="宋体" w:cs="Times New Roman"/>
          <w:color w:val="000000"/>
          <w:sz w:val="24"/>
          <w:highlight w:val="none"/>
          <w:lang w:bidi="ar"/>
        </w:rPr>
        <w:t xml:space="preserve">5588210、</w:t>
      </w:r>
      <w:r>
        <w:rPr>
          <w:rFonts w:hint="eastAsia" w:ascii="Times New Roman" w:hAnsi="Times New Roman" w:eastAsia="宋体" w:cs="Times New Roman"/>
          <w:color w:val="000000"/>
          <w:sz w:val="24"/>
          <w:highlight w:val="none"/>
          <w:lang w:val="en-US" w:eastAsia="zh-CN" w:bidi="ar"/>
        </w:rPr>
        <w:t xml:space="preserve">0519-</w:t>
      </w:r>
      <w:r>
        <w:rPr>
          <w:rFonts w:hint="eastAsia" w:ascii="Times New Roman" w:hAnsi="Times New Roman" w:eastAsia="宋体" w:cs="Times New Roman"/>
          <w:color w:val="000000"/>
          <w:sz w:val="24"/>
          <w:highlight w:val="none"/>
          <w:lang w:bidi="ar"/>
        </w:rPr>
        <w:t xml:space="preserve">85588163</w:t>
      </w:r>
      <w:r>
        <w:rPr>
          <w:rFonts w:ascii="Times New Roman" w:hAnsi="Times New Roman" w:eastAsia="宋体" w:cs="Times New Roman"/>
          <w:color w:val="000000"/>
          <w:sz w:val="24"/>
          <w:highlight w:val="none"/>
          <w:lang w:bidi="ar"/>
        </w:rPr>
      </w:r>
      <w:r/>
    </w:p>
    <w:p>
      <w:pPr>
        <w:pStyle w:val="1039"/>
        <w:ind w:firstLine="480"/>
        <w:jc w:val="left"/>
        <w:spacing w:line="360" w:lineRule="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.1办理CA认证证书</w:t>
      </w:r>
      <w:r>
        <w:rPr>
          <w:rFonts w:ascii="Times New Roman" w:hAnsi="Times New Roman" w:eastAsia="宋体" w:cs="Times New Roman"/>
          <w:color w:val="000000"/>
          <w:sz w:val="24"/>
          <w:highlight w:val="none"/>
          <w:lang w:bidi="ar"/>
        </w:rPr>
      </w:r>
      <w:r/>
    </w:p>
    <w:p>
      <w:pPr>
        <w:pStyle w:val="1039"/>
        <w:ind w:firstLine="48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供应商登录常州市政府采购网“下载中心”下载并查阅 “江苏省政府采购数字证书CA及电子签章办理指南”，按照程序要求办理。</w:t>
      </w:r>
      <w:r>
        <w:rPr>
          <w:rFonts w:hint="eastAsia" w:ascii="Times New Roman" w:hAnsi="Times New Roman" w:eastAsia="宋体" w:cs="Times New Roman"/>
          <w:color w:val="000000"/>
          <w:sz w:val="24"/>
          <w:highlight w:val="none"/>
          <w:lang w:bidi="ar"/>
        </w:rPr>
      </w:r>
      <w:r/>
    </w:p>
    <w:p>
      <w:pPr>
        <w:pStyle w:val="1039"/>
        <w:ind w:firstLine="480"/>
        <w:spacing w:line="360" w:lineRule="auto"/>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.2注册</w:t>
      </w:r>
      <w:r>
        <w:rPr>
          <w:rFonts w:ascii="Times New Roman" w:hAnsi="Times New Roman" w:eastAsia="宋体" w:cs="Times New Roman"/>
          <w:color w:val="000000"/>
          <w:sz w:val="24"/>
          <w:highlight w:val="none"/>
          <w:lang w:bidi="ar"/>
        </w:rPr>
      </w:r>
      <w:r/>
    </w:p>
    <w:p>
      <w:pPr>
        <w:pStyle w:val="1039"/>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供应商登录常州市政府采购网“下载中心”-“苏采云”系统（供应商）操作手册下载相关操作手册、操作视频等，查阅后进行自助注册。</w:t>
      </w:r>
      <w:r>
        <w:rPr>
          <w:rFonts w:ascii="Times New Roman" w:hAnsi="Times New Roman" w:eastAsia="宋体" w:cs="Times New Roman"/>
          <w:color w:val="000000"/>
          <w:sz w:val="24"/>
          <w:highlight w:val="none"/>
        </w:rPr>
      </w:r>
      <w:r/>
    </w:p>
    <w:p>
      <w:pPr>
        <w:pStyle w:val="1039"/>
        <w:ind w:firstLine="480"/>
        <w:jc w:val="left"/>
        <w:spacing w:line="360" w:lineRule="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.3</w:t>
      </w:r>
      <w:r>
        <w:rPr>
          <w:rFonts w:hint="eastAsia" w:ascii="Times New Roman" w:hAnsi="Times New Roman" w:eastAsia="宋体" w:cs="Times New Roman"/>
          <w:color w:val="000000"/>
          <w:sz w:val="24"/>
          <w:highlight w:val="none"/>
          <w:lang w:bidi="ar"/>
        </w:rPr>
        <w:t xml:space="preserve">控件</w:t>
      </w:r>
      <w:r>
        <w:rPr>
          <w:rFonts w:ascii="Times New Roman" w:hAnsi="Times New Roman" w:eastAsia="宋体" w:cs="Times New Roman"/>
          <w:color w:val="000000"/>
          <w:sz w:val="24"/>
          <w:highlight w:val="none"/>
          <w:lang w:bidi="ar"/>
        </w:rPr>
        <w:t xml:space="preserve">、客户端下载</w:t>
      </w:r>
      <w:r>
        <w:rPr>
          <w:rFonts w:ascii="Times New Roman" w:hAnsi="Times New Roman" w:eastAsia="宋体" w:cs="Times New Roman"/>
          <w:color w:val="000000"/>
          <w:sz w:val="24"/>
          <w:highlight w:val="none"/>
          <w:lang w:bidi="ar"/>
        </w:rPr>
      </w:r>
      <w:r/>
    </w:p>
    <w:p>
      <w:pPr>
        <w:pStyle w:val="1039"/>
        <w:ind w:firstLine="48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供应商登录常州市政府采购网“下载中心”-政府采购管理交易系统（苏采云）CA及签章控件驱动下载相关控件及客户端。</w:t>
      </w:r>
      <w:r>
        <w:rPr>
          <w:rFonts w:hint="eastAsia" w:ascii="Times New Roman" w:hAnsi="Times New Roman" w:eastAsia="宋体" w:cs="Times New Roman"/>
          <w:color w:val="000000"/>
          <w:sz w:val="24"/>
          <w:highlight w:val="none"/>
          <w:lang w:bidi="ar"/>
        </w:rPr>
      </w:r>
      <w:r/>
    </w:p>
    <w:p>
      <w:pPr>
        <w:pStyle w:val="1039"/>
        <w:ind w:firstLine="480"/>
        <w:spacing w:line="360" w:lineRule="auto"/>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.4 获取电子磋商文件</w:t>
      </w:r>
      <w:r>
        <w:rPr>
          <w:rFonts w:ascii="Times New Roman" w:hAnsi="Times New Roman" w:eastAsia="宋体" w:cs="Times New Roman"/>
          <w:color w:val="000000"/>
          <w:sz w:val="24"/>
          <w:highlight w:val="none"/>
          <w:lang w:bidi="ar"/>
        </w:rPr>
      </w:r>
      <w:r/>
    </w:p>
    <w:p>
      <w:pPr>
        <w:pStyle w:val="1039"/>
        <w:ind w:firstLine="48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供应商持CA数字认证证书登录“苏采云”政府采购一体化平台获取电子磋商文件。未在规定期限内通过“苏采云”政府采购一体化平台获取磋商文件的响应无效。</w:t>
      </w:r>
      <w:r>
        <w:rPr>
          <w:rFonts w:hint="eastAsia" w:ascii="Times New Roman" w:hAnsi="Times New Roman" w:eastAsia="宋体" w:cs="Times New Roman"/>
          <w:color w:val="000000"/>
          <w:sz w:val="24"/>
          <w:highlight w:val="none"/>
          <w:lang w:bidi="ar"/>
        </w:rPr>
      </w:r>
      <w:r/>
    </w:p>
    <w:p>
      <w:pPr>
        <w:pStyle w:val="1039"/>
        <w:ind w:firstLine="480"/>
        <w:spacing w:line="360" w:lineRule="auto"/>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.5编制电子响应文件</w:t>
      </w:r>
      <w:r>
        <w:rPr>
          <w:rFonts w:ascii="Times New Roman" w:hAnsi="Times New Roman" w:eastAsia="宋体" w:cs="Times New Roman"/>
          <w:color w:val="000000"/>
          <w:sz w:val="24"/>
          <w:highlight w:val="none"/>
          <w:lang w:bidi="ar"/>
        </w:rPr>
      </w:r>
      <w:r/>
    </w:p>
    <w:p>
      <w:pPr>
        <w:pStyle w:val="1039"/>
        <w:ind w:firstLine="480"/>
        <w:jc w:val="left"/>
        <w:spacing w:line="360" w:lineRule="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 </w:t>
      </w:r>
      <w:r>
        <w:rPr>
          <w:rFonts w:hint="eastAsia" w:ascii="宋体" w:hAnsi="宋体" w:eastAsia="宋体" w:cs="宋体"/>
          <w:color w:val="000000"/>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Times New Roman" w:hAnsi="Times New Roman" w:eastAsia="宋体" w:cs="Times New Roman"/>
          <w:color w:val="000000"/>
          <w:sz w:val="24"/>
          <w:highlight w:val="none"/>
          <w:lang w:bidi="ar"/>
        </w:rPr>
      </w:r>
      <w:r/>
    </w:p>
    <w:p>
      <w:pPr>
        <w:pStyle w:val="1039"/>
        <w:ind w:firstLine="480"/>
        <w:jc w:val="left"/>
        <w:spacing w:line="360" w:lineRule="auto"/>
        <w:widowControl/>
        <w:rPr>
          <w:rFonts w:ascii="Times New Roman" w:hAnsi="Times New Roman" w:eastAsia="宋体" w:cs="Times New Roman"/>
          <w:color w:val="000000"/>
          <w:sz w:val="24"/>
          <w:highlight w:val="none"/>
          <w:lang w:val="zh-TW"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val="zh-TW" w:eastAsia="zh-TW" w:bidi="ar"/>
        </w:rPr>
        <w:t xml:space="preserve">.6</w:t>
      </w:r>
      <w:r>
        <w:rPr>
          <w:rFonts w:ascii="Times New Roman" w:hAnsi="Times New Roman" w:eastAsia="宋体" w:cs="Times New Roman"/>
          <w:color w:val="000000"/>
          <w:sz w:val="24"/>
          <w:highlight w:val="none"/>
          <w:lang w:val="zh-TW" w:bidi="ar"/>
        </w:rPr>
        <w:t xml:space="preserve">提交电子响应文件</w:t>
      </w:r>
      <w:r>
        <w:rPr>
          <w:rFonts w:ascii="Times New Roman" w:hAnsi="Times New Roman" w:eastAsia="宋体" w:cs="Times New Roman"/>
          <w:color w:val="000000"/>
          <w:sz w:val="24"/>
          <w:highlight w:val="none"/>
          <w:lang w:val="zh-TW" w:bidi="ar"/>
        </w:rPr>
      </w:r>
      <w:r/>
    </w:p>
    <w:p>
      <w:pPr>
        <w:pStyle w:val="1039"/>
        <w:ind w:firstLine="480"/>
        <w:jc w:val="left"/>
        <w:spacing w:line="360" w:lineRule="auto"/>
        <w:widowControl/>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供应商应于响应截止时间前在“苏采云”政府采购一体化平台提交电子响应文件，上传电子响应文件过程中请保持与互联网的连接畅通。</w:t>
      </w:r>
      <w:r>
        <w:rPr>
          <w:rFonts w:hint="eastAsia" w:ascii="Times New Roman" w:hAnsi="Times New Roman" w:eastAsia="宋体" w:cs="Times New Roman"/>
          <w:color w:val="000000"/>
          <w:sz w:val="24"/>
          <w:highlight w:val="none"/>
          <w:lang w:bidi="ar"/>
        </w:rPr>
      </w:r>
      <w:r/>
    </w:p>
    <w:p>
      <w:pPr>
        <w:pStyle w:val="1039"/>
        <w:ind w:firstLine="480"/>
        <w:jc w:val="left"/>
        <w:spacing w:line="360" w:lineRule="auto"/>
        <w:widowControl/>
        <w:rPr>
          <w:rFonts w:ascii="Times New Roman" w:hAnsi="Times New Roman" w:eastAsia="宋体" w:cs="Times New Roman"/>
          <w:color w:val="000000"/>
          <w:sz w:val="24"/>
          <w:highlight w:val="none"/>
          <w:lang w:eastAsia="zh-TW"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val="zh-TW" w:bidi="ar"/>
        </w:rPr>
        <w:t xml:space="preserve">.</w:t>
      </w:r>
      <w:r>
        <w:rPr>
          <w:rFonts w:ascii="Times New Roman" w:hAnsi="Times New Roman" w:eastAsia="宋体" w:cs="Times New Roman"/>
          <w:color w:val="000000"/>
          <w:sz w:val="24"/>
          <w:highlight w:val="none"/>
          <w:lang w:val="zh-TW" w:eastAsia="zh-TW" w:bidi="ar"/>
        </w:rPr>
        <w:t xml:space="preserve">7</w:t>
      </w:r>
      <w:r>
        <w:rPr>
          <w:rFonts w:ascii="Times New Roman" w:hAnsi="Times New Roman" w:eastAsia="宋体" w:cs="Times New Roman"/>
          <w:color w:val="000000"/>
          <w:sz w:val="24"/>
          <w:highlight w:val="none"/>
          <w:lang w:val="zh-TW" w:bidi="ar"/>
        </w:rPr>
        <w:t xml:space="preserve">电子开标</w:t>
      </w:r>
      <w:r>
        <w:rPr>
          <w:rFonts w:ascii="Times New Roman" w:hAnsi="Times New Roman" w:eastAsia="宋体" w:cs="Times New Roman"/>
          <w:color w:val="000000"/>
          <w:sz w:val="24"/>
          <w:highlight w:val="none"/>
          <w:lang w:eastAsia="zh-TW" w:bidi="ar"/>
        </w:rPr>
      </w:r>
      <w:r/>
    </w:p>
    <w:p>
      <w:pPr>
        <w:pStyle w:val="1039"/>
        <w:ind w:firstLine="48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供应商使用CA认证证书登录“苏采云”政府采购一体化平台进行电子化不见面开标。 </w:t>
      </w:r>
      <w:r>
        <w:rPr>
          <w:rFonts w:hint="eastAsia" w:ascii="Times New Roman" w:hAnsi="Times New Roman" w:eastAsia="宋体" w:cs="Times New Roman"/>
          <w:color w:val="000000"/>
          <w:sz w:val="24"/>
          <w:highlight w:val="none"/>
          <w:lang w:bidi="ar"/>
        </w:rPr>
      </w:r>
      <w:r/>
    </w:p>
    <w:p>
      <w:pPr>
        <w:pStyle w:val="1039"/>
        <w:ind w:firstLine="480"/>
        <w:spacing w:line="360" w:lineRule="auto"/>
        <w:rPr>
          <w:rFonts w:hint="eastAsia" w:ascii="Times New Roman" w:hAnsi="Times New Roman" w:eastAsia="宋体" w:cs="Times New Roman"/>
          <w:color w:val="000000"/>
          <w:sz w:val="24"/>
          <w:highlight w:val="none"/>
          <w:lang w:val="zh-TW" w:bidi="ar"/>
        </w:rPr>
      </w:pPr>
      <w:r>
        <w:rPr>
          <w:rFonts w:hint="eastAsia"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val="zh-TW" w:bidi="ar"/>
        </w:rPr>
        <w:t xml:space="preserve">.8注意事项</w:t>
      </w:r>
      <w:r>
        <w:rPr>
          <w:rFonts w:hint="eastAsia" w:ascii="Times New Roman" w:hAnsi="Times New Roman" w:eastAsia="宋体" w:cs="Times New Roman"/>
          <w:color w:val="000000"/>
          <w:sz w:val="24"/>
          <w:highlight w:val="none"/>
          <w:lang w:val="zh-TW" w:bidi="ar"/>
        </w:rPr>
      </w:r>
      <w:r/>
    </w:p>
    <w:p>
      <w:pPr>
        <w:pStyle w:val="1039"/>
        <w:ind w:firstLine="480"/>
        <w:spacing w:line="360" w:lineRule="auto"/>
        <w:rPr>
          <w:rFonts w:ascii="Times New Roman" w:hAnsi="Times New Roman" w:eastAsia="宋体" w:cs="Times New Roman"/>
          <w:color w:val="000000"/>
          <w:sz w:val="24"/>
          <w:highlight w:val="none"/>
          <w:lang w:eastAsia="zh-TW"/>
        </w:rPr>
      </w:pPr>
      <w:r>
        <w:rPr>
          <w:rFonts w:ascii="Times New Roman" w:hAnsi="Times New Roman" w:eastAsia="宋体" w:cs="Times New Roman"/>
          <w:color w:val="000000"/>
          <w:sz w:val="24"/>
          <w:highlight w:val="none"/>
          <w:lang w:val="zh-TW" w:bidi="ar"/>
        </w:rPr>
        <w:t xml:space="preserve">供应商</w:t>
      </w:r>
      <w:r>
        <w:rPr>
          <w:rFonts w:hint="eastAsia" w:ascii="Times New Roman" w:hAnsi="Times New Roman" w:eastAsia="宋体" w:cs="Times New Roman"/>
          <w:color w:val="000000"/>
          <w:sz w:val="24"/>
          <w:highlight w:val="none"/>
          <w:lang w:val="zh-TW" w:bidi="ar"/>
        </w:rPr>
        <w:t xml:space="preserve">在开标前应当</w:t>
      </w:r>
      <w:r>
        <w:rPr>
          <w:rFonts w:ascii="宋体" w:hAnsi="宋体" w:eastAsia="宋体" w:cs="Times New Roman"/>
          <w:color w:val="000000"/>
          <w:sz w:val="24"/>
          <w:highlight w:val="none"/>
        </w:rPr>
        <w:t xml:space="preserve">使用“验证CA”功能验证本地计算机的控件环境是否正常，并且在开标</w:t>
      </w:r>
      <w:r>
        <w:rPr>
          <w:rFonts w:hint="eastAsia" w:ascii="宋体" w:hAnsi="宋体" w:eastAsia="宋体" w:cs="Times New Roman"/>
          <w:color w:val="000000"/>
          <w:sz w:val="24"/>
          <w:highlight w:val="none"/>
        </w:rPr>
        <w:t xml:space="preserve">、评审</w:t>
      </w:r>
      <w:r>
        <w:rPr>
          <w:rFonts w:ascii="宋体" w:hAnsi="宋体" w:eastAsia="宋体" w:cs="Times New Roman"/>
          <w:color w:val="000000"/>
          <w:sz w:val="24"/>
          <w:highlight w:val="none"/>
        </w:rPr>
        <w:t xml:space="preserve">过程中不可随意更换</w:t>
      </w:r>
      <w:r>
        <w:rPr>
          <w:rFonts w:hint="eastAsia" w:ascii="宋体" w:hAnsi="宋体" w:eastAsia="宋体" w:cs="Times New Roman"/>
          <w:color w:val="000000"/>
          <w:sz w:val="24"/>
          <w:highlight w:val="none"/>
        </w:rPr>
        <w:t xml:space="preserve">计算机</w:t>
      </w:r>
      <w:r>
        <w:rPr>
          <w:rFonts w:ascii="宋体" w:hAnsi="宋体" w:eastAsia="宋体" w:cs="Times New Roman"/>
          <w:color w:val="000000"/>
          <w:sz w:val="24"/>
          <w:highlight w:val="none"/>
        </w:rPr>
        <w:t xml:space="preserve">，必须使用验证成功的</w:t>
      </w:r>
      <w:r>
        <w:rPr>
          <w:rFonts w:hint="eastAsia" w:ascii="宋体" w:hAnsi="宋体" w:eastAsia="宋体" w:cs="Times New Roman"/>
          <w:color w:val="000000"/>
          <w:sz w:val="24"/>
          <w:highlight w:val="none"/>
        </w:rPr>
        <w:t xml:space="preserve">计算机</w:t>
      </w:r>
      <w:r>
        <w:rPr>
          <w:rFonts w:ascii="宋体" w:hAnsi="宋体" w:eastAsia="宋体" w:cs="Times New Roman"/>
          <w:color w:val="000000"/>
          <w:sz w:val="24"/>
          <w:highlight w:val="none"/>
        </w:rPr>
        <w:t xml:space="preserve">进行操作，否则造成相应后果由供应商自行承担。</w:t>
      </w:r>
      <w:r>
        <w:rPr>
          <w:rFonts w:ascii="Times New Roman" w:hAnsi="Times New Roman" w:eastAsia="宋体" w:cs="Times New Roman"/>
          <w:color w:val="000000"/>
          <w:sz w:val="24"/>
          <w:highlight w:val="none"/>
          <w:lang w:eastAsia="zh-TW"/>
        </w:rPr>
      </w:r>
      <w:r/>
    </w:p>
    <w:p>
      <w:pPr>
        <w:pStyle w:val="1039"/>
        <w:ind w:firstLine="480"/>
        <w:spacing w:line="360" w:lineRule="auto"/>
        <w:rPr>
          <w:rFonts w:ascii="Times New Roman" w:hAnsi="Times New Roman" w:eastAsia="宋体" w:cs="Times New Roman"/>
          <w:color w:val="000000"/>
          <w:sz w:val="24"/>
          <w:highlight w:val="none"/>
          <w:lang w:val="zh-TW" w:bidi="ar"/>
        </w:rPr>
      </w:pPr>
      <w:r>
        <w:rPr>
          <w:rFonts w:hint="eastAsia" w:ascii="Times New Roman" w:hAnsi="Times New Roman" w:eastAsia="宋体" w:cs="Times New Roman"/>
          <w:color w:val="000000"/>
          <w:sz w:val="24"/>
          <w:highlight w:val="none"/>
          <w:lang w:bidi="ar"/>
        </w:rPr>
        <w:t xml:space="preserve">3</w:t>
      </w:r>
      <w:r>
        <w:rPr>
          <w:rFonts w:hint="eastAsia" w:ascii="Times New Roman" w:hAnsi="Times New Roman" w:eastAsia="宋体" w:cs="Times New Roman"/>
          <w:color w:val="000000"/>
          <w:sz w:val="24"/>
          <w:highlight w:val="none"/>
          <w:lang w:val="zh-TW" w:bidi="ar"/>
        </w:rPr>
        <w:t xml:space="preserve">.关于常州市中小企业政府采购信用融资：</w:t>
      </w:r>
      <w:r>
        <w:rPr>
          <w:rFonts w:ascii="Times New Roman" w:hAnsi="Times New Roman" w:eastAsia="宋体" w:cs="Times New Roman"/>
          <w:color w:val="000000"/>
          <w:sz w:val="24"/>
          <w:highlight w:val="none"/>
          <w:lang w:val="zh-TW" w:bidi="ar"/>
        </w:rPr>
      </w:r>
      <w:r/>
    </w:p>
    <w:p>
      <w:pPr>
        <w:pStyle w:val="1039"/>
        <w:ind w:firstLine="480"/>
        <w:jc w:val="left"/>
        <w:spacing w:line="360" w:lineRule="auto"/>
        <w:widowControl/>
        <w:rPr>
          <w:rFonts w:ascii="宋体" w:hAnsi="宋体" w:eastAsia="宋体" w:cs="Times New Roman"/>
          <w:sz w:val="24"/>
          <w:highlight w:val="none"/>
        </w:rPr>
      </w:pPr>
      <w:r>
        <w:rPr>
          <w:rFonts w:hint="eastAsia" w:ascii="宋体" w:hAnsi="宋体" w:eastAsia="宋体" w:cs="宋体"/>
          <w:color w:val="000000"/>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rFonts w:ascii="宋体" w:hAnsi="宋体" w:eastAsia="宋体" w:cs="Times New Roman"/>
          <w:sz w:val="24"/>
          <w:highlight w:val="none"/>
        </w:rPr>
      </w:r>
      <w:r/>
    </w:p>
    <w:p>
      <w:pPr>
        <w:pStyle w:val="1041"/>
        <w:jc w:val="left"/>
        <w:spacing w:before="0" w:line="360" w:lineRule="auto"/>
        <w:rPr>
          <w:rFonts w:ascii="宋体" w:hAnsi="宋体" w:eastAsia="宋体"/>
          <w:sz w:val="24"/>
          <w:szCs w:val="24"/>
          <w:highlight w:val="none"/>
        </w:rPr>
      </w:pPr>
      <w:r>
        <w:rPr>
          <w:rFonts w:ascii="宋体" w:hAnsi="宋体" w:eastAsia="宋体"/>
          <w:sz w:val="24"/>
          <w:szCs w:val="24"/>
          <w:highlight w:val="none"/>
        </w:rPr>
        <w:t xml:space="preserve">八、对本项目提出询问，请按以下方式联系。</w:t>
      </w:r>
      <w:bookmarkEnd w:id="26"/>
      <w:r/>
      <w:bookmarkEnd w:id="27"/>
      <w:r/>
      <w:bookmarkEnd w:id="28"/>
      <w:r/>
      <w:bookmarkEnd w:id="29"/>
      <w:r>
        <w:rPr>
          <w:rFonts w:ascii="宋体" w:hAnsi="宋体" w:eastAsia="宋体"/>
          <w:sz w:val="24"/>
          <w:szCs w:val="24"/>
          <w:highlight w:val="none"/>
        </w:rPr>
      </w:r>
      <w:r/>
    </w:p>
    <w:p>
      <w:pPr>
        <w:pStyle w:val="1039"/>
        <w:jc w:val="left"/>
        <w:spacing w:line="360" w:lineRule="auto"/>
        <w:widowControl/>
        <w:rPr>
          <w:rFonts w:ascii="宋体" w:hAnsi="宋体"/>
          <w:b/>
          <w:sz w:val="24"/>
          <w:highlight w:val="none"/>
        </w:rPr>
      </w:pPr>
      <w:r>
        <w:rPr>
          <w:rFonts w:ascii="宋体" w:hAnsi="宋体"/>
          <w:sz w:val="24"/>
          <w:highlight w:val="none"/>
        </w:rPr>
        <w:t xml:space="preserve">　　　</w:t>
      </w:r>
      <w:r>
        <w:rPr>
          <w:rFonts w:ascii="宋体" w:hAnsi="宋体"/>
          <w:b/>
          <w:sz w:val="24"/>
          <w:highlight w:val="none"/>
        </w:rPr>
        <w:t xml:space="preserve">1.采购人信息</w:t>
      </w:r>
      <w:r>
        <w:rPr>
          <w:rFonts w:ascii="宋体" w:hAnsi="宋体"/>
          <w:b/>
          <w:sz w:val="24"/>
          <w:highlight w:val="none"/>
        </w:rPr>
      </w:r>
      <w:r/>
    </w:p>
    <w:p>
      <w:pPr>
        <w:pStyle w:val="1039"/>
        <w:ind w:left="1079" w:hanging="300"/>
        <w:jc w:val="left"/>
        <w:spacing w:line="360" w:lineRule="auto"/>
        <w:rPr>
          <w:rFonts w:ascii="宋体" w:hAnsi="宋体"/>
          <w:sz w:val="24"/>
          <w:highlight w:val="none"/>
        </w:rPr>
      </w:pPr>
      <w:r/>
      <w:bookmarkStart w:id="30" w:name="_Toc28359009"/>
      <w:r/>
      <w:bookmarkStart w:id="31" w:name="_Toc28359086"/>
      <w:r>
        <w:rPr>
          <w:rFonts w:ascii="宋体" w:hAnsi="宋体"/>
          <w:sz w:val="24"/>
          <w:highlight w:val="none"/>
        </w:rPr>
        <w:t xml:space="preserve">名    称：</w:t>
      </w:r>
      <w:r>
        <w:rPr>
          <w:rFonts w:hint="eastAsia" w:ascii="宋体" w:hAnsi="宋体"/>
          <w:sz w:val="24"/>
          <w:highlight w:val="none"/>
        </w:rPr>
        <w:t xml:space="preserve">溧阳市教育局</w:t>
      </w:r>
      <w:r>
        <w:rPr>
          <w:rFonts w:ascii="宋体" w:hAnsi="宋体"/>
          <w:sz w:val="24"/>
          <w:highlight w:val="none"/>
        </w:rPr>
      </w:r>
      <w:r/>
    </w:p>
    <w:p>
      <w:pPr>
        <w:pStyle w:val="1039"/>
        <w:ind w:left="1079" w:hanging="300"/>
        <w:jc w:val="left"/>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sz w:val="24"/>
          <w:highlight w:val="none"/>
        </w:rPr>
        <w:t xml:space="preserve">溧阳市育才南路8号</w:t>
      </w:r>
      <w:r>
        <w:rPr>
          <w:rFonts w:ascii="宋体" w:hAnsi="宋体"/>
          <w:sz w:val="24"/>
          <w:highlight w:val="none"/>
        </w:rPr>
      </w:r>
      <w:r/>
    </w:p>
    <w:p>
      <w:pPr>
        <w:pStyle w:val="1039"/>
        <w:ind w:left="1079" w:hanging="300"/>
        <w:jc w:val="left"/>
        <w:spacing w:line="360" w:lineRule="auto"/>
        <w:rPr>
          <w:rFonts w:ascii="宋体" w:hAnsi="宋体"/>
          <w:sz w:val="24"/>
          <w:highlight w:val="none"/>
          <w:u w:val="single"/>
        </w:rPr>
      </w:pPr>
      <w:r>
        <w:rPr>
          <w:rFonts w:ascii="宋体" w:hAnsi="宋体"/>
          <w:sz w:val="24"/>
          <w:highlight w:val="none"/>
        </w:rPr>
        <w:t xml:space="preserve">联系方式：</w:t>
      </w:r>
      <w:r>
        <w:rPr>
          <w:rFonts w:hint="eastAsia" w:ascii="宋体" w:hAnsi="宋体"/>
          <w:sz w:val="24"/>
          <w:highlight w:val="none"/>
        </w:rPr>
        <w:t xml:space="preserve">0519-87222160</w:t>
      </w:r>
      <w:r>
        <w:rPr>
          <w:rFonts w:ascii="宋体" w:hAnsi="宋体"/>
          <w:sz w:val="24"/>
          <w:highlight w:val="none"/>
          <w:u w:val="single"/>
        </w:rPr>
      </w:r>
      <w:r/>
    </w:p>
    <w:p>
      <w:pPr>
        <w:pStyle w:val="1039"/>
        <w:ind w:left="1078" w:hanging="299"/>
        <w:jc w:val="left"/>
        <w:spacing w:line="360" w:lineRule="auto"/>
        <w:rPr>
          <w:rFonts w:ascii="宋体" w:hAnsi="宋体"/>
          <w:b/>
          <w:sz w:val="24"/>
          <w:highlight w:val="none"/>
        </w:rPr>
      </w:pPr>
      <w:r>
        <w:rPr>
          <w:rFonts w:ascii="宋体" w:hAnsi="宋体"/>
          <w:b/>
          <w:sz w:val="24"/>
          <w:highlight w:val="none"/>
        </w:rPr>
        <w:t xml:space="preserve">2.采购代理机构信息</w:t>
      </w:r>
      <w:bookmarkEnd w:id="30"/>
      <w:r/>
      <w:bookmarkEnd w:id="31"/>
      <w:r>
        <w:rPr>
          <w:rFonts w:ascii="宋体" w:hAnsi="宋体"/>
          <w:b/>
          <w:sz w:val="24"/>
          <w:highlight w:val="none"/>
        </w:rPr>
      </w:r>
      <w:r/>
    </w:p>
    <w:p>
      <w:pPr>
        <w:pStyle w:val="1039"/>
        <w:ind w:left="1076" w:hanging="297"/>
        <w:jc w:val="left"/>
        <w:spacing w:line="360" w:lineRule="auto"/>
        <w:rPr>
          <w:rFonts w:ascii="宋体" w:hAnsi="宋体"/>
          <w:sz w:val="24"/>
          <w:highlight w:val="none"/>
        </w:rPr>
      </w:pPr>
      <w:r/>
      <w:bookmarkStart w:id="32" w:name="_Toc28359010"/>
      <w:r/>
      <w:bookmarkStart w:id="33" w:name="_Toc28359087"/>
      <w:r>
        <w:rPr>
          <w:rFonts w:ascii="宋体" w:hAnsi="宋体"/>
          <w:sz w:val="24"/>
          <w:highlight w:val="none"/>
        </w:rPr>
        <w:t xml:space="preserve">名    称：</w:t>
      </w:r>
      <w:r>
        <w:rPr>
          <w:rFonts w:hint="eastAsia" w:ascii="宋体" w:hAnsi="宋体"/>
          <w:sz w:val="24"/>
          <w:highlight w:val="none"/>
        </w:rPr>
        <w:t xml:space="preserve">江苏立诚建设项目管理咨询有限公司</w:t>
      </w:r>
      <w:r>
        <w:rPr>
          <w:rFonts w:ascii="宋体" w:hAnsi="宋体"/>
          <w:sz w:val="24"/>
          <w:highlight w:val="none"/>
        </w:rPr>
      </w:r>
      <w:r/>
    </w:p>
    <w:p>
      <w:pPr>
        <w:pStyle w:val="1039"/>
        <w:ind w:left="1076" w:hanging="297"/>
        <w:jc w:val="left"/>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sz w:val="24"/>
          <w:highlight w:val="none"/>
        </w:rPr>
        <w:t xml:space="preserve">溧阳市古县街道奥体大道3001号贝桥嘉苑36幢101室2层-2</w:t>
      </w:r>
      <w:r>
        <w:rPr>
          <w:rFonts w:ascii="宋体" w:hAnsi="宋体"/>
          <w:sz w:val="24"/>
          <w:highlight w:val="none"/>
        </w:rPr>
      </w:r>
      <w:r/>
    </w:p>
    <w:p>
      <w:pPr>
        <w:pStyle w:val="1039"/>
        <w:ind w:left="1076" w:hanging="297"/>
        <w:jc w:val="left"/>
        <w:spacing w:line="360" w:lineRule="auto"/>
        <w:rPr>
          <w:rFonts w:ascii="宋体" w:hAnsi="宋体"/>
          <w:sz w:val="24"/>
          <w:highlight w:val="none"/>
          <w:u w:val="single"/>
        </w:rPr>
      </w:pPr>
      <w:r>
        <w:rPr>
          <w:rFonts w:ascii="宋体" w:hAnsi="宋体"/>
          <w:sz w:val="24"/>
          <w:highlight w:val="none"/>
        </w:rPr>
        <w:t xml:space="preserve">联系方式：</w:t>
      </w:r>
      <w:r>
        <w:rPr>
          <w:rFonts w:hint="eastAsia" w:ascii="宋体" w:hAnsi="宋体"/>
          <w:sz w:val="24"/>
          <w:highlight w:val="none"/>
        </w:rPr>
        <w:t xml:space="preserve">0519-87925608</w:t>
      </w:r>
      <w:r>
        <w:rPr>
          <w:rFonts w:ascii="宋体" w:hAnsi="宋体"/>
          <w:sz w:val="24"/>
          <w:highlight w:val="none"/>
          <w:u w:val="single"/>
        </w:rPr>
      </w:r>
      <w:r/>
    </w:p>
    <w:p>
      <w:pPr>
        <w:pStyle w:val="1039"/>
        <w:ind w:left="1078" w:hanging="299"/>
        <w:spacing w:line="360" w:lineRule="auto"/>
        <w:rPr>
          <w:rFonts w:ascii="宋体" w:hAnsi="宋体"/>
          <w:b/>
          <w:sz w:val="24"/>
          <w:highlight w:val="none"/>
          <w:u w:val="single"/>
        </w:rPr>
      </w:pPr>
      <w:r>
        <w:rPr>
          <w:rFonts w:ascii="宋体" w:hAnsi="宋体"/>
          <w:b/>
          <w:sz w:val="24"/>
          <w:highlight w:val="none"/>
        </w:rPr>
        <w:t xml:space="preserve">3.项目联系方式</w:t>
      </w:r>
      <w:bookmarkEnd w:id="32"/>
      <w:r/>
      <w:bookmarkEnd w:id="33"/>
      <w:r>
        <w:rPr>
          <w:rFonts w:ascii="宋体" w:hAnsi="宋体"/>
          <w:b/>
          <w:sz w:val="24"/>
          <w:highlight w:val="none"/>
          <w:u w:val="single"/>
        </w:rPr>
      </w:r>
      <w:r/>
    </w:p>
    <w:p>
      <w:pPr>
        <w:pStyle w:val="1078"/>
        <w:ind w:left="1076" w:hanging="297"/>
        <w:spacing w:line="360" w:lineRule="auto"/>
        <w:rPr>
          <w:rFonts w:hAnsi="宋体"/>
          <w:sz w:val="24"/>
          <w:highlight w:val="none"/>
          <w:u w:val="single"/>
          <w:lang w:bidi="ar"/>
        </w:rPr>
      </w:pPr>
      <w:r>
        <w:rPr>
          <w:rFonts w:hAnsi="宋体"/>
          <w:sz w:val="24"/>
          <w:szCs w:val="24"/>
          <w:highlight w:val="none"/>
        </w:rPr>
        <w:t xml:space="preserve">项目联系人：</w:t>
      </w:r>
      <w:r>
        <w:rPr>
          <w:rFonts w:hAnsi="宋体"/>
          <w:sz w:val="24"/>
          <w:highlight w:val="none"/>
        </w:rPr>
        <w:t xml:space="preserve">袁女士</w:t>
      </w:r>
      <w:r>
        <w:rPr>
          <w:rFonts w:hAnsi="宋体"/>
          <w:sz w:val="24"/>
          <w:highlight w:val="none"/>
          <w:u w:val="single"/>
          <w:lang w:bidi="ar"/>
        </w:rPr>
      </w:r>
      <w:r/>
    </w:p>
    <w:p>
      <w:pPr>
        <w:pStyle w:val="1078"/>
        <w:ind w:left="1076" w:hanging="297"/>
        <w:spacing w:line="360" w:lineRule="auto"/>
        <w:rPr>
          <w:rFonts w:hAnsi="宋体"/>
          <w:sz w:val="24"/>
          <w:highlight w:val="none"/>
        </w:rPr>
      </w:pPr>
      <w:r>
        <w:rPr>
          <w:rFonts w:hAnsi="宋体"/>
          <w:sz w:val="24"/>
          <w:highlight w:val="none"/>
        </w:rPr>
        <w:t xml:space="preserve">电      话：</w:t>
      </w:r>
      <w:r>
        <w:rPr>
          <w:rFonts w:hAnsi="宋体"/>
          <w:sz w:val="24"/>
          <w:highlight w:val="none"/>
        </w:rPr>
        <w:t xml:space="preserve">0519-87925608</w:t>
      </w:r>
      <w:r>
        <w:rPr>
          <w:rFonts w:hAnsi="宋体"/>
          <w:sz w:val="24"/>
          <w:highlight w:val="none"/>
        </w:rPr>
      </w:r>
      <w:r/>
    </w:p>
    <w:p>
      <w:pPr>
        <w:pStyle w:val="1039"/>
        <w:ind w:firstLine="5880"/>
        <w:jc w:val="right"/>
        <w:spacing w:line="360" w:lineRule="auto"/>
        <w:rPr>
          <w:sz w:val="24"/>
          <w:highlight w:val="none"/>
        </w:rPr>
      </w:pPr>
      <w:r>
        <w:rPr>
          <w:sz w:val="24"/>
          <w:highlight w:val="none"/>
        </w:rPr>
      </w:r>
      <w:r/>
    </w:p>
    <w:p>
      <w:pPr>
        <w:pStyle w:val="1039"/>
        <w:jc w:val="center"/>
        <w:spacing w:line="360" w:lineRule="auto"/>
        <w:rPr>
          <w:b/>
          <w:sz w:val="32"/>
          <w:szCs w:val="32"/>
          <w:highlight w:val="none"/>
        </w:rPr>
        <w:outlineLvl w:val="0"/>
      </w:pPr>
      <w:r/>
      <w:bookmarkStart w:id="34" w:name="_Toc305158928"/>
      <w:r/>
      <w:bookmarkStart w:id="35" w:name="_Toc226965856"/>
      <w:r/>
      <w:bookmarkStart w:id="36" w:name="_Toc353825548"/>
      <w:r/>
      <w:bookmarkStart w:id="37" w:name="_Toc264969275"/>
      <w:r/>
      <w:bookmarkStart w:id="38" w:name="_Toc305158854"/>
      <w:r/>
      <w:bookmarkStart w:id="39" w:name="_Toc512937850"/>
      <w:r/>
      <w:bookmarkStart w:id="40" w:name="_Toc127161488"/>
      <w:r/>
      <w:bookmarkStart w:id="41" w:name="_Toc150774783"/>
      <w:r/>
      <w:bookmarkStart w:id="42" w:name="_Toc195842950"/>
      <w:r/>
      <w:bookmarkStart w:id="43" w:name="_Toc14381"/>
      <w:r/>
      <w:bookmarkStart w:id="44" w:name="_Toc265228423"/>
      <w:r/>
      <w:bookmarkStart w:id="45" w:name="_Toc127151777"/>
      <w:r/>
      <w:bookmarkStart w:id="46" w:name="_Toc353873938"/>
      <w:r>
        <w:rPr>
          <w:b/>
          <w:sz w:val="36"/>
          <w:szCs w:val="36"/>
          <w:highlight w:val="none"/>
        </w:rPr>
        <w:br w:type="page" w:clear="all"/>
      </w:r>
      <w:r>
        <w:rPr>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highlight w:val="none"/>
        </w:rPr>
      </w:r>
      <w:r/>
    </w:p>
    <w:p>
      <w:pPr>
        <w:pStyle w:val="1041"/>
        <w:spacing w:before="0" w:line="360" w:lineRule="auto"/>
        <w:tabs>
          <w:tab w:val="center" w:pos="4592" w:leader="none"/>
          <w:tab w:val="left" w:pos="7860" w:leader="none"/>
        </w:tabs>
        <w:rPr>
          <w:rFonts w:ascii="Times New Roman" w:hAnsi="Times New Roman" w:eastAsia="宋体"/>
          <w:b w:val="0"/>
          <w:sz w:val="28"/>
          <w:highlight w:val="none"/>
        </w:rPr>
      </w:pPr>
      <w:r/>
      <w:bookmarkStart w:id="47" w:name="_Toc226309763"/>
      <w:r/>
      <w:bookmarkStart w:id="48" w:name="_Toc151193617"/>
      <w:r/>
      <w:bookmarkStart w:id="49" w:name="_Toc520356144"/>
      <w:r/>
      <w:bookmarkStart w:id="50" w:name="_Toc164608633"/>
      <w:r/>
      <w:bookmarkStart w:id="51" w:name="_Toc151193907"/>
      <w:r/>
      <w:bookmarkStart w:id="52" w:name="_Toc151193833"/>
      <w:r/>
      <w:bookmarkStart w:id="53" w:name="_Toc151190146"/>
      <w:r/>
      <w:bookmarkStart w:id="54" w:name="_Toc226337215"/>
      <w:r/>
      <w:bookmarkStart w:id="55" w:name="_Toc195842884"/>
      <w:r/>
      <w:bookmarkStart w:id="56" w:name="_Toc164229360"/>
      <w:r/>
      <w:bookmarkStart w:id="57" w:name="_Toc150509270"/>
      <w:r/>
      <w:bookmarkStart w:id="58" w:name="_Toc127151519"/>
      <w:r/>
      <w:bookmarkStart w:id="59" w:name="_Toc164608788"/>
      <w:r/>
      <w:bookmarkStart w:id="60" w:name="_Toc127161433"/>
      <w:r/>
      <w:bookmarkStart w:id="61" w:name="_Toc127151720"/>
      <w:r/>
      <w:bookmarkStart w:id="62" w:name="_Toc151193761"/>
      <w:r/>
      <w:bookmarkStart w:id="63" w:name="_Toc151193689"/>
      <w:r/>
      <w:bookmarkStart w:id="64" w:name="_Toc226965792"/>
      <w:r/>
      <w:bookmarkStart w:id="65" w:name="_Toc164351613"/>
      <w:r/>
      <w:bookmarkStart w:id="66" w:name="_Toc149720812"/>
      <w:r/>
      <w:bookmarkStart w:id="67" w:name="_Toc150480757"/>
      <w:r/>
      <w:bookmarkStart w:id="68" w:name="_Toc226965709"/>
      <w:r/>
      <w:bookmarkStart w:id="69" w:name="_Toc142311021"/>
      <w:r/>
      <w:bookmarkStart w:id="70" w:name="_Toc150774724"/>
      <w:r/>
      <w:bookmarkStart w:id="71" w:name="_Toc164229214"/>
      <w:r/>
      <w:bookmarkStart w:id="72" w:name="_Toc150774619"/>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1039"/>
        <w:jc w:val="center"/>
        <w:rPr>
          <w:b/>
          <w:sz w:val="28"/>
          <w:szCs w:val="28"/>
          <w:highlight w:val="none"/>
        </w:rPr>
      </w:pPr>
      <w:r>
        <w:rPr>
          <w:b/>
          <w:sz w:val="28"/>
          <w:szCs w:val="28"/>
          <w:highlight w:val="none"/>
        </w:rPr>
      </w:r>
      <w:r/>
    </w:p>
    <w:p>
      <w:pPr>
        <w:pStyle w:val="1039"/>
        <w:ind w:firstLine="480"/>
        <w:spacing w:line="360" w:lineRule="auto"/>
        <w:rPr>
          <w:sz w:val="24"/>
          <w:highlight w:val="none"/>
        </w:rPr>
      </w:pPr>
      <w:r>
        <w:rPr>
          <w:sz w:val="24"/>
          <w:highlight w:val="none"/>
        </w:rPr>
        <w:t xml:space="preserve">本表是对供应商须知的具体补充和修改，如有矛盾，均以本资料表为准。</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680" w:hRule="exact"/>
          <w:tblHeader/>
        </w:trPr>
        <w:tc>
          <w:tcPr>
            <w:tcW w:w="988" w:type="dxa"/>
            <w:vAlign w:val="center"/>
            <w:textDirection w:val="lrTb"/>
            <w:noWrap w:val="false"/>
          </w:tcPr>
          <w:p>
            <w:pPr>
              <w:pStyle w:val="1039"/>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1039"/>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1039"/>
              <w:jc w:val="center"/>
              <w:rPr>
                <w:b/>
                <w:bCs/>
                <w:sz w:val="24"/>
                <w:highlight w:val="none"/>
              </w:rPr>
            </w:pPr>
            <w:r>
              <w:rPr>
                <w:b/>
                <w:bCs/>
                <w:sz w:val="24"/>
                <w:highlight w:val="none"/>
              </w:rPr>
              <w:t xml:space="preserve">内容</w:t>
            </w:r>
            <w:r>
              <w:rPr>
                <w:b/>
                <w:bCs/>
                <w:sz w:val="24"/>
                <w:highlight w:val="non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1039"/>
              <w:jc w:val="left"/>
              <w:rPr>
                <w:rFonts w:hint="eastAsia"/>
                <w:sz w:val="24"/>
                <w:highlight w:val="none"/>
                <w:u w:val="single"/>
              </w:rPr>
            </w:pPr>
            <w:r>
              <w:rPr>
                <w:sz w:val="24"/>
                <w:highlight w:val="none"/>
              </w:rPr>
              <w:t xml:space="preserve">项目属性：</w:t>
            </w:r>
            <w:r>
              <w:rPr>
                <w:rFonts w:hint="eastAsia"/>
                <w:sz w:val="24"/>
                <w:highlight w:val="none"/>
              </w:rPr>
              <w:t xml:space="preserve">服务</w:t>
            </w:r>
            <w:r>
              <w:rPr>
                <w:rFonts w:hint="eastAsia"/>
                <w:sz w:val="24"/>
                <w:highlight w:val="none"/>
                <w:u w:val="singl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是否属于科研仪器设备采购项目：否</w:t>
            </w:r>
            <w:r>
              <w:rPr>
                <w:sz w:val="24"/>
                <w:highlight w:val="none"/>
              </w:rPr>
            </w:r>
            <w:r/>
          </w:p>
        </w:tc>
      </w:tr>
      <w:tr>
        <w:trPr>
          <w:trHeight w:val="680" w:hRule="exact"/>
        </w:trPr>
        <w:tc>
          <w:tcPr>
            <w:tcW w:w="988" w:type="dxa"/>
            <w:vAlign w:val="center"/>
            <w:vMerge w:val="restart"/>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不组织</w:t>
            </w:r>
            <w:r>
              <w:rPr>
                <w:sz w:val="24"/>
                <w:highlight w:val="none"/>
              </w:rPr>
            </w:r>
            <w:r/>
          </w:p>
        </w:tc>
      </w:tr>
      <w:tr>
        <w:trPr>
          <w:trHeight w:val="680" w:hRule="exact"/>
        </w:trPr>
        <w:tc>
          <w:tcPr>
            <w:tcW w:w="988" w:type="dxa"/>
            <w:vAlign w:val="center"/>
            <w:vMerge w:val="continue"/>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不召开</w:t>
            </w:r>
            <w:r>
              <w:rPr>
                <w:sz w:val="24"/>
                <w:highlight w:val="none"/>
              </w:rPr>
            </w:r>
            <w:r/>
          </w:p>
        </w:tc>
      </w:tr>
      <w:tr>
        <w:trPr>
          <w:trHeight w:val="677"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4.2.5</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本项目采购标的对应的中小企业划分标准所属行业：</w:t>
            </w:r>
            <w:r>
              <w:rPr>
                <w:rFonts w:hint="eastAsia"/>
                <w:b/>
                <w:bCs/>
                <w:sz w:val="24"/>
                <w:highlight w:val="none"/>
                <w:u w:val="single"/>
              </w:rPr>
              <w:t xml:space="preserve">其他未列明行业</w:t>
            </w:r>
            <w:r>
              <w:rPr>
                <w:sz w:val="24"/>
                <w:highlight w:val="non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10.2</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1039"/>
              <w:jc w:val="left"/>
              <w:rPr>
                <w:rFonts w:hint="eastAsia"/>
                <w:sz w:val="24"/>
                <w:highlight w:val="none"/>
              </w:rPr>
            </w:pPr>
            <w:r>
              <w:rPr>
                <w:sz w:val="24"/>
                <w:highlight w:val="none"/>
              </w:rPr>
              <w:t xml:space="preserve">报价的特殊规定：</w:t>
            </w:r>
            <w:r>
              <w:rPr>
                <w:rFonts w:hint="eastAsia"/>
                <w:sz w:val="24"/>
                <w:highlight w:val="none"/>
              </w:rPr>
              <w:t xml:space="preserve">优惠率。</w:t>
            </w:r>
            <w:r>
              <w:rPr>
                <w:rFonts w:hint="eastAsia"/>
                <w:sz w:val="24"/>
                <w:highlight w:val="non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1039"/>
              <w:jc w:val="left"/>
              <w:rPr>
                <w:sz w:val="24"/>
                <w:highlight w:val="none"/>
              </w:rPr>
            </w:pPr>
            <w:r>
              <w:rPr>
                <w:rFonts w:hint="eastAsia"/>
                <w:sz w:val="24"/>
                <w:highlight w:val="none"/>
              </w:rPr>
              <w:t xml:space="preserve">免收</w:t>
            </w:r>
            <w:r>
              <w:rPr>
                <w:sz w:val="24"/>
                <w:highlight w:val="non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12.1</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自提交响应文件的截止之日起算</w:t>
            </w:r>
            <w:r>
              <w:rPr>
                <w:rFonts w:hint="eastAsia"/>
                <w:sz w:val="24"/>
                <w:highlight w:val="none"/>
              </w:rPr>
              <w:t xml:space="preserve">60</w:t>
            </w:r>
            <w:r>
              <w:rPr>
                <w:sz w:val="24"/>
                <w:highlight w:val="none"/>
              </w:rPr>
              <w:t xml:space="preserve">日历天。</w:t>
            </w:r>
            <w:r>
              <w:rPr>
                <w:sz w:val="24"/>
                <w:highlight w:val="non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23.5</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1039"/>
              <w:jc w:val="left"/>
              <w:rPr>
                <w:sz w:val="24"/>
                <w:highlight w:val="none"/>
                <w:u w:val="single"/>
              </w:rPr>
            </w:pPr>
            <w:r>
              <w:rPr>
                <w:sz w:val="24"/>
                <w:highlight w:val="none"/>
              </w:rPr>
              <w:t xml:space="preserve">本项目是否允许分包： 不允许</w:t>
            </w:r>
            <w:r>
              <w:rPr>
                <w:sz w:val="24"/>
                <w:highlight w:val="none"/>
                <w:u w:val="single"/>
              </w:rPr>
            </w:r>
            <w:r/>
          </w:p>
        </w:tc>
      </w:tr>
      <w:tr>
        <w:trPr>
          <w:trHeight w:val="680"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24.1.1</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询问送达形式：</w:t>
            </w:r>
            <w:r>
              <w:rPr>
                <w:rFonts w:hint="eastAsia"/>
                <w:sz w:val="24"/>
                <w:highlight w:val="none"/>
              </w:rPr>
              <w:t xml:space="preserve">书面形式</w:t>
            </w:r>
            <w:r>
              <w:rPr>
                <w:sz w:val="24"/>
                <w:highlight w:val="none"/>
              </w:rPr>
              <w:t xml:space="preserve">。</w:t>
            </w:r>
            <w:r>
              <w:rPr>
                <w:sz w:val="24"/>
                <w:highlight w:val="none"/>
              </w:rPr>
            </w:r>
            <w:r/>
          </w:p>
        </w:tc>
      </w:tr>
      <w:tr>
        <w:trPr>
          <w:trHeight w:val="1603"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24.3</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接收询问和质疑的联系方式</w:t>
            </w:r>
            <w:r>
              <w:rPr>
                <w:sz w:val="24"/>
                <w:highlight w:val="none"/>
              </w:rPr>
            </w:r>
            <w:r/>
          </w:p>
          <w:p>
            <w:pPr>
              <w:pStyle w:val="1039"/>
              <w:jc w:val="left"/>
              <w:rPr>
                <w:sz w:val="24"/>
                <w:highlight w:val="none"/>
              </w:rPr>
            </w:pPr>
            <w:r>
              <w:rPr>
                <w:sz w:val="24"/>
                <w:highlight w:val="none"/>
              </w:rPr>
              <w:t xml:space="preserve">联系部门：</w:t>
            </w:r>
            <w:r>
              <w:rPr>
                <w:rFonts w:hint="eastAsia" w:ascii="宋体" w:hAnsi="宋体"/>
                <w:sz w:val="24"/>
                <w:highlight w:val="none"/>
              </w:rPr>
              <w:t xml:space="preserve">江苏立诚建设项目管理咨询有限公司</w:t>
            </w:r>
            <w:r>
              <w:rPr>
                <w:sz w:val="24"/>
                <w:highlight w:val="none"/>
              </w:rPr>
              <w:t xml:space="preserve">；</w:t>
            </w:r>
            <w:r>
              <w:rPr>
                <w:sz w:val="24"/>
                <w:highlight w:val="none"/>
              </w:rPr>
            </w:r>
            <w:r/>
          </w:p>
          <w:p>
            <w:pPr>
              <w:pStyle w:val="1039"/>
              <w:jc w:val="left"/>
              <w:rPr>
                <w:sz w:val="24"/>
                <w:highlight w:val="none"/>
              </w:rPr>
            </w:pPr>
            <w:r>
              <w:rPr>
                <w:sz w:val="24"/>
                <w:highlight w:val="none"/>
              </w:rPr>
              <w:t xml:space="preserve">联系电话：</w:t>
            </w:r>
            <w:r>
              <w:rPr>
                <w:rFonts w:hint="eastAsia" w:ascii="宋体" w:hAnsi="宋体"/>
                <w:sz w:val="24"/>
                <w:highlight w:val="none"/>
              </w:rPr>
              <w:t xml:space="preserve">0519-87925608</w:t>
            </w:r>
            <w:r>
              <w:rPr>
                <w:sz w:val="24"/>
                <w:highlight w:val="none"/>
              </w:rPr>
              <w:t xml:space="preserve">；</w:t>
            </w:r>
            <w:r>
              <w:rPr>
                <w:sz w:val="24"/>
                <w:highlight w:val="none"/>
              </w:rPr>
            </w:r>
            <w:r/>
          </w:p>
          <w:p>
            <w:pPr>
              <w:pStyle w:val="1039"/>
              <w:jc w:val="left"/>
              <w:rPr>
                <w:sz w:val="24"/>
                <w:highlight w:val="none"/>
              </w:rPr>
            </w:pPr>
            <w:r>
              <w:rPr>
                <w:sz w:val="24"/>
                <w:highlight w:val="none"/>
              </w:rPr>
              <w:t xml:space="preserve">通讯地址：</w:t>
            </w:r>
            <w:r>
              <w:rPr>
                <w:rFonts w:hint="eastAsia"/>
                <w:sz w:val="24"/>
                <w:highlight w:val="none"/>
              </w:rPr>
              <w:t xml:space="preserve">溧阳市古县街道奥体大道3001号贝桥嘉苑36幢101室2层-2</w:t>
            </w:r>
            <w:r>
              <w:rPr>
                <w:sz w:val="24"/>
                <w:highlight w:val="none"/>
              </w:rPr>
              <w:t xml:space="preserve">。</w:t>
            </w:r>
            <w:r>
              <w:rPr>
                <w:sz w:val="24"/>
                <w:highlight w:val="none"/>
              </w:rPr>
            </w:r>
            <w:r/>
          </w:p>
        </w:tc>
      </w:tr>
      <w:tr>
        <w:trPr>
          <w:trHeight w:val="1453" w:hRule="exact"/>
        </w:trPr>
        <w:tc>
          <w:tcPr>
            <w:tcW w:w="988" w:type="dxa"/>
            <w:vAlign w:val="center"/>
            <w:textDirection w:val="lrTb"/>
            <w:noWrap w:val="false"/>
          </w:tcPr>
          <w:p>
            <w:pPr>
              <w:pStyle w:val="1078"/>
              <w:jc w:val="center"/>
              <w:rPr>
                <w:rFonts w:ascii="Times New Roman" w:hAnsi="Times New Roman"/>
                <w:sz w:val="24"/>
                <w:szCs w:val="24"/>
                <w:highlight w:val="none"/>
              </w:rPr>
            </w:pPr>
            <w:r>
              <w:rPr>
                <w:rFonts w:ascii="Times New Roman" w:hAnsi="Times New Roman"/>
                <w:sz w:val="24"/>
                <w:szCs w:val="24"/>
                <w:highlight w:val="none"/>
              </w:rPr>
              <w:t xml:space="preserve">25</w:t>
            </w:r>
            <w:r>
              <w:rPr>
                <w:rFonts w:ascii="Times New Roman" w:hAnsi="Times New Roman"/>
                <w:sz w:val="24"/>
                <w:szCs w:val="24"/>
                <w:highlight w:val="none"/>
              </w:rPr>
            </w:r>
            <w:r/>
          </w:p>
        </w:tc>
        <w:tc>
          <w:tcPr>
            <w:tcW w:w="1701" w:type="dxa"/>
            <w:vAlign w:val="center"/>
            <w:textDirection w:val="lrTb"/>
            <w:noWrap w:val="false"/>
          </w:tcPr>
          <w:p>
            <w:pPr>
              <w:pStyle w:val="1039"/>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1039"/>
              <w:jc w:val="left"/>
              <w:rPr>
                <w:sz w:val="24"/>
                <w:highlight w:val="none"/>
              </w:rPr>
            </w:pPr>
            <w:r>
              <w:rPr>
                <w:sz w:val="24"/>
                <w:highlight w:val="none"/>
              </w:rPr>
              <w:t xml:space="preserve">收费对象：成交供应商</w:t>
            </w:r>
            <w:r>
              <w:rPr>
                <w:sz w:val="24"/>
                <w:highlight w:val="none"/>
              </w:rPr>
            </w:r>
            <w:r/>
          </w:p>
          <w:p>
            <w:pPr>
              <w:pStyle w:val="1039"/>
              <w:jc w:val="left"/>
              <w:rPr>
                <w:sz w:val="24"/>
                <w:highlight w:val="none"/>
                <w:u w:val="single"/>
              </w:rPr>
            </w:pPr>
            <w:r>
              <w:rPr>
                <w:sz w:val="24"/>
                <w:highlight w:val="none"/>
              </w:rPr>
              <w:t xml:space="preserve">收费标准：</w:t>
            </w:r>
            <w:r>
              <w:rPr>
                <w:rFonts w:hint="eastAsia"/>
                <w:sz w:val="24"/>
                <w:highlight w:val="none"/>
              </w:rPr>
              <w:t xml:space="preserve">按苏政采协(2024)20号收取</w:t>
            </w:r>
            <w:r>
              <w:rPr>
                <w:sz w:val="24"/>
                <w:highlight w:val="none"/>
              </w:rPr>
              <w:t xml:space="preserve">；</w:t>
            </w:r>
            <w:r>
              <w:rPr>
                <w:sz w:val="24"/>
                <w:highlight w:val="none"/>
                <w:u w:val="single"/>
              </w:rPr>
            </w:r>
            <w:r/>
          </w:p>
          <w:p>
            <w:pPr>
              <w:pStyle w:val="1039"/>
              <w:jc w:val="left"/>
              <w:rPr>
                <w:sz w:val="24"/>
                <w:highlight w:val="none"/>
              </w:rPr>
            </w:pPr>
            <w:r>
              <w:rPr>
                <w:sz w:val="24"/>
                <w:highlight w:val="none"/>
              </w:rPr>
              <w:t xml:space="preserve">缴纳时间：</w:t>
            </w:r>
            <w:r>
              <w:rPr>
                <w:rFonts w:hint="eastAsia"/>
                <w:sz w:val="24"/>
                <w:highlight w:val="none"/>
              </w:rPr>
              <w:t xml:space="preserve">领取</w:t>
            </w:r>
            <w:r>
              <w:rPr>
                <w:sz w:val="24"/>
                <w:highlight w:val="none"/>
              </w:rPr>
              <w:t xml:space="preserve">成交通知书的同时。</w:t>
            </w:r>
            <w:r>
              <w:rPr>
                <w:sz w:val="24"/>
                <w:highlight w:val="none"/>
              </w:rPr>
            </w:r>
            <w:r/>
          </w:p>
        </w:tc>
      </w:tr>
    </w:tbl>
    <w:p>
      <w:pPr>
        <w:pStyle w:val="1039"/>
        <w:jc w:val="both"/>
        <w:spacing w:line="360" w:lineRule="auto"/>
        <w:tabs>
          <w:tab w:val="left" w:pos="5580" w:leader="none"/>
        </w:tabs>
        <w:rPr>
          <w:sz w:val="24"/>
          <w:highlight w:val="none"/>
        </w:rPr>
        <w:sectPr>
          <w:footerReference w:type="default" r:id="rId17"/>
          <w:footerReference w:type="first" r:id="rId18"/>
          <w:footnotePr/>
          <w:endnotePr/>
          <w:type w:val="nextPage"/>
          <w:pgSz w:w="11900" w:h="16832" w:orient="portrait"/>
          <w:pgMar w:top="1417" w:right="1757" w:bottom="1417" w:left="1757" w:header="850" w:footer="850" w:gutter="0"/>
          <w:pgNumType w:start="1"/>
          <w:cols w:num="1" w:sep="0" w:space="1701" w:equalWidth="1"/>
          <w:docGrid w:linePitch="360"/>
        </w:sectPr>
      </w:pPr>
      <w:r>
        <w:rPr>
          <w:sz w:val="24"/>
          <w:highlight w:val="none"/>
        </w:rPr>
      </w:r>
      <w:r/>
    </w:p>
    <w:p>
      <w:pPr>
        <w:pStyle w:val="1039"/>
        <w:jc w:val="center"/>
        <w:spacing w:before="240" w:after="240"/>
        <w:rPr>
          <w:rFonts w:ascii="Times New Roman" w:hAnsi="Times New Roman" w:eastAsia="宋体" w:cs="Times New Roman"/>
          <w:b/>
          <w:sz w:val="28"/>
          <w:szCs w:val="28"/>
          <w:highlight w:val="none"/>
        </w:rPr>
      </w:pPr>
      <w:r/>
      <w:bookmarkStart w:id="73" w:name="_Toc305158822"/>
      <w:r/>
      <w:bookmarkStart w:id="74" w:name="_Toc150774759"/>
      <w:r/>
      <w:bookmarkStart w:id="75" w:name="_Toc353873664"/>
      <w:r/>
      <w:bookmarkStart w:id="76" w:name="_Toc353873934"/>
      <w:r/>
      <w:bookmarkStart w:id="77" w:name="_Toc150480792"/>
      <w:r/>
      <w:bookmarkStart w:id="78" w:name="_Toc305158896"/>
      <w:r/>
      <w:bookmarkStart w:id="79" w:name="_Toc265228392"/>
      <w:r/>
      <w:bookmarkStart w:id="80" w:name="_Toc12381"/>
      <w:r/>
      <w:bookmarkStart w:id="81" w:name="_Toc127151554"/>
      <w:r/>
      <w:bookmarkStart w:id="82" w:name="_Toc142311056"/>
      <w:r/>
      <w:bookmarkStart w:id="83" w:name="_Toc264969244"/>
      <w:r/>
      <w:bookmarkStart w:id="84" w:name="_Toc226337250"/>
      <w:r/>
      <w:bookmarkStart w:id="85" w:name="_Toc226965827"/>
      <w:r/>
      <w:bookmarkStart w:id="86" w:name="_Toc353825544"/>
      <w:r>
        <w:rPr>
          <w:rFonts w:ascii="Times New Roman" w:hAnsi="Times New Roman" w:eastAsia="宋体" w:cs="Times New Roman"/>
          <w:b/>
          <w:sz w:val="28"/>
          <w:szCs w:val="28"/>
          <w:highlight w:val="none"/>
        </w:rPr>
        <w:t xml:space="preserve">供应商须知</w:t>
      </w:r>
      <w:r>
        <w:rPr>
          <w:rFonts w:ascii="Times New Roman" w:hAnsi="Times New Roman" w:eastAsia="宋体" w:cs="Times New Roman"/>
          <w:b/>
          <w:sz w:val="28"/>
          <w:szCs w:val="28"/>
          <w:highlight w:val="none"/>
        </w:rPr>
      </w:r>
      <w:r/>
    </w:p>
    <w:p>
      <w:pPr>
        <w:pStyle w:val="1039"/>
        <w:jc w:val="left"/>
        <w:keepLines/>
        <w:keepNext/>
        <w:spacing w:before="0" w:line="360" w:lineRule="auto"/>
        <w:widowControl w:val="off"/>
        <w:tabs>
          <w:tab w:val="center" w:pos="4592" w:leader="none"/>
          <w:tab w:val="left" w:pos="7860" w:leader="none"/>
        </w:tabs>
        <w:rPr>
          <w:rFonts w:ascii="Times New Roman" w:hAnsi="Times New Roman" w:eastAsia="宋体" w:cs="Times New Roman"/>
          <w:b/>
          <w:sz w:val="28"/>
          <w:szCs w:val="20"/>
          <w:highlight w:val="none"/>
          <w:lang w:val="en-US" w:eastAsia="zh-CN" w:bidi="ar-SA"/>
        </w:rPr>
        <w:outlineLvl w:val="1"/>
      </w:pPr>
      <w:r/>
      <w:bookmarkStart w:id="87" w:name="_Toc127151518"/>
      <w:r/>
      <w:bookmarkStart w:id="88" w:name="_Toc520356143"/>
      <w:r>
        <w:rPr>
          <w:rFonts w:ascii="Times New Roman" w:hAnsi="Times New Roman" w:eastAsia="宋体" w:cs="Times New Roman"/>
          <w:b/>
          <w:sz w:val="28"/>
          <w:szCs w:val="20"/>
          <w:highlight w:val="none"/>
          <w:lang w:val="en-US" w:eastAsia="zh-CN" w:bidi="ar-SA"/>
        </w:rPr>
        <w:tab/>
      </w:r>
      <w:bookmarkEnd w:id="87"/>
      <w:r/>
      <w:bookmarkEnd w:id="88"/>
      <w:r/>
      <w:bookmarkStart w:id="89" w:name="_Toc151193832"/>
      <w:r/>
      <w:bookmarkStart w:id="90" w:name="_Toc151193688"/>
      <w:r/>
      <w:bookmarkStart w:id="91" w:name="_Toc151193616"/>
      <w:r/>
      <w:bookmarkStart w:id="92" w:name="_Toc226309762"/>
      <w:r/>
      <w:bookmarkStart w:id="93" w:name="_Toc150480756"/>
      <w:r/>
      <w:bookmarkStart w:id="94" w:name="_Toc150774723"/>
      <w:r/>
      <w:bookmarkStart w:id="95" w:name="_Toc226965791"/>
      <w:r/>
      <w:bookmarkStart w:id="96" w:name="_Toc151190145"/>
      <w:r/>
      <w:bookmarkStart w:id="97" w:name="_Toc265228356"/>
      <w:r/>
      <w:bookmarkStart w:id="98" w:name="_Toc150509269"/>
      <w:r/>
      <w:bookmarkStart w:id="99" w:name="_Toc151193906"/>
      <w:r/>
      <w:bookmarkStart w:id="100" w:name="_Toc142311020"/>
      <w:r/>
      <w:bookmarkStart w:id="101" w:name="_Toc226965708"/>
      <w:r/>
      <w:bookmarkStart w:id="102" w:name="_Toc305158860"/>
      <w:r/>
      <w:bookmarkStart w:id="103" w:name="_Toc264969208"/>
      <w:r/>
      <w:bookmarkStart w:id="104" w:name="_Toc226337214"/>
      <w:r/>
      <w:bookmarkStart w:id="105" w:name="_Toc151193760"/>
      <w:r/>
      <w:bookmarkStart w:id="106" w:name="_Toc305158786"/>
      <w:r/>
      <w:bookmarkStart w:id="107" w:name="_Toc150774618"/>
      <w:r/>
      <w:bookmarkStart w:id="108" w:name="_Toc195842883"/>
      <w:r>
        <w:rPr>
          <w:rFonts w:ascii="Times New Roman" w:hAnsi="Times New Roman" w:eastAsia="宋体" w:cs="Times New Roman"/>
          <w:b/>
          <w:sz w:val="28"/>
          <w:szCs w:val="20"/>
          <w:highlight w:val="none"/>
          <w:lang w:val="en-US" w:eastAsia="zh-CN" w:bidi="ar-SA"/>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s="Times New Roman"/>
          <w:b/>
          <w:sz w:val="28"/>
          <w:szCs w:val="20"/>
          <w:highlight w:val="none"/>
          <w:lang w:val="en-US" w:eastAsia="zh-CN" w:bidi="ar-SA"/>
        </w:rPr>
        <w:tab/>
      </w:r>
      <w:r>
        <w:rPr>
          <w:rFonts w:ascii="Times New Roman" w:hAnsi="Times New Roman" w:eastAsia="宋体" w:cs="Times New Roman"/>
          <w:b/>
          <w:sz w:val="28"/>
          <w:szCs w:val="20"/>
          <w:highlight w:val="none"/>
          <w:lang w:val="en-US" w:eastAsia="zh-CN" w:bidi="ar-SA"/>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109" w:name="_Toc264969209"/>
      <w:r/>
      <w:bookmarkStart w:id="110" w:name="_Toc305158787"/>
      <w:r/>
      <w:bookmarkStart w:id="111" w:name="_Toc305158861"/>
      <w:r/>
      <w:bookmarkStart w:id="112" w:name="_Toc265228357"/>
      <w:r>
        <w:rPr>
          <w:rFonts w:ascii="Times New Roman" w:hAnsi="Times New Roman" w:eastAsia="宋体" w:cs="Times New Roman"/>
          <w:sz w:val="24"/>
          <w:highlight w:val="none"/>
        </w:rPr>
        <w:t xml:space="preserve">采购人、采购代理机构、供应商</w:t>
      </w:r>
      <w:bookmarkEnd w:id="109"/>
      <w:r/>
      <w:bookmarkEnd w:id="110"/>
      <w:r/>
      <w:bookmarkEnd w:id="111"/>
      <w:r/>
      <w:bookmarkEnd w:id="112"/>
      <w:r>
        <w:rPr>
          <w:rFonts w:ascii="Times New Roman" w:hAnsi="Times New Roman" w:eastAsia="宋体" w:cs="Times New Roman"/>
          <w:sz w:val="24"/>
          <w:highlight w:val="none"/>
        </w:rPr>
        <w:t xml:space="preserve">、联合体</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采购人、采购代理机构：指依法进行政府采购的国家机关、事业单位、团体组织，及其委托的采购代理机构。本项目采购人、采购代理机构见第一章《磋商邀请》。</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供应商（也称“申请人”）：指向采购人提供服务的法人、其他组织或者自然人。</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联合体：指两个以上的自然人、法人或者其他组织组成一个联合体，以一个供应商的身份共同参加政府采购。</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113" w:name="_Toc149720813"/>
      <w:r/>
      <w:bookmarkStart w:id="114" w:name="_Toc164351614"/>
      <w:r/>
      <w:bookmarkStart w:id="115" w:name="_Toc265228358"/>
      <w:r/>
      <w:bookmarkStart w:id="116" w:name="_Toc305158862"/>
      <w:r/>
      <w:bookmarkStart w:id="117" w:name="_Toc150774620"/>
      <w:r/>
      <w:bookmarkStart w:id="118" w:name="_Toc151193762"/>
      <w:r/>
      <w:bookmarkStart w:id="119" w:name="_Toc226965710"/>
      <w:r/>
      <w:bookmarkStart w:id="120" w:name="_Toc164608789"/>
      <w:r/>
      <w:bookmarkStart w:id="121" w:name="_Toc151193834"/>
      <w:r/>
      <w:bookmarkStart w:id="122" w:name="_Toc151190147"/>
      <w:r/>
      <w:bookmarkStart w:id="123" w:name="_Toc226309764"/>
      <w:r/>
      <w:bookmarkStart w:id="124" w:name="_Toc164608634"/>
      <w:r/>
      <w:bookmarkStart w:id="125" w:name="_Toc151193908"/>
      <w:r/>
      <w:bookmarkStart w:id="126" w:name="_Toc151193618"/>
      <w:r/>
      <w:bookmarkStart w:id="127" w:name="_Toc226337216"/>
      <w:r/>
      <w:bookmarkStart w:id="128" w:name="_Toc127151520"/>
      <w:r/>
      <w:bookmarkStart w:id="129" w:name="_Toc151193690"/>
      <w:r/>
      <w:bookmarkStart w:id="130" w:name="_Toc127151721"/>
      <w:r/>
      <w:bookmarkStart w:id="131" w:name="_Toc164229361"/>
      <w:r/>
      <w:bookmarkStart w:id="132" w:name="_Toc195842885"/>
      <w:r/>
      <w:bookmarkStart w:id="133" w:name="_Toc305158788"/>
      <w:r/>
      <w:bookmarkStart w:id="134" w:name="_Toc226965793"/>
      <w:r/>
      <w:bookmarkStart w:id="135" w:name="_Toc264969210"/>
      <w:r/>
      <w:bookmarkStart w:id="136" w:name="_Toc127161434"/>
      <w:r/>
      <w:bookmarkStart w:id="137" w:name="_Toc164229215"/>
      <w:r/>
      <w:bookmarkStart w:id="138" w:name="_Toc142311022"/>
      <w:r/>
      <w:bookmarkStart w:id="139" w:name="_Toc150480758"/>
      <w:r/>
      <w:bookmarkStart w:id="140" w:name="_Toc150774725"/>
      <w:r/>
      <w:bookmarkStart w:id="141" w:name="_Toc150509271"/>
      <w:r>
        <w:rPr>
          <w:rFonts w:ascii="Times New Roman" w:hAnsi="Times New Roman" w:eastAsia="宋体" w:cs="Times New Roman"/>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cs="Times New Roman"/>
          <w:sz w:val="24"/>
          <w:highlight w:val="none"/>
        </w:rPr>
        <w:t xml:space="preserve">、项目属性、科研仪器设备采购</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资金来源为财政性资金和本项目采购中无法与财政性资金分割的非财政性资金。</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项目属性见《供应商须知资料表》。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是否属于科研仪器设备采购见《供应商须知资料表》。</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现场考察、磋商前答疑会</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8"/>
          <w:highlight w:val="none"/>
        </w:rPr>
      </w:pPr>
      <w:r>
        <w:rPr>
          <w:rFonts w:ascii="Times New Roman" w:hAnsi="Times New Roman" w:eastAsia="宋体" w:cs="Times New Roman"/>
          <w:sz w:val="24"/>
          <w:highlight w:val="none"/>
        </w:rPr>
        <w:t xml:space="preserve">若《供应商须知资料表》中规定了组织现场考察、召开磋商前答疑会，则供应商应按要求在规定的时间和地点参加。</w:t>
      </w:r>
      <w:bookmarkStart w:id="142" w:name="_Toc195842887"/>
      <w:r/>
      <w:bookmarkStart w:id="143" w:name="_Toc226965712"/>
      <w:r/>
      <w:bookmarkStart w:id="144" w:name="_Toc151190149"/>
      <w:r/>
      <w:bookmarkStart w:id="145" w:name="_Toc151193692"/>
      <w:r/>
      <w:bookmarkStart w:id="146" w:name="_Toc226965795"/>
      <w:r/>
      <w:bookmarkStart w:id="147" w:name="_Toc151193620"/>
      <w:r/>
      <w:bookmarkStart w:id="148" w:name="_Toc150774727"/>
      <w:r/>
      <w:bookmarkStart w:id="149" w:name="_Toc150774622"/>
      <w:r/>
      <w:bookmarkStart w:id="150" w:name="_Toc127151522"/>
      <w:r/>
      <w:bookmarkStart w:id="151" w:name="_Toc226337218"/>
      <w:r/>
      <w:bookmarkStart w:id="152" w:name="_Toc150509273"/>
      <w:r/>
      <w:bookmarkStart w:id="153" w:name="_Toc305158864"/>
      <w:r/>
      <w:bookmarkStart w:id="154" w:name="_Toc151193910"/>
      <w:r/>
      <w:bookmarkStart w:id="155" w:name="_Toc151193836"/>
      <w:r/>
      <w:bookmarkStart w:id="156" w:name="_Toc142311024"/>
      <w:r/>
      <w:bookmarkStart w:id="157" w:name="_Toc305158790"/>
      <w:r/>
      <w:bookmarkStart w:id="158" w:name="_Toc151193764"/>
      <w:r/>
      <w:bookmarkStart w:id="159" w:name="_Toc264969212"/>
      <w:r/>
      <w:bookmarkStart w:id="160" w:name="_Toc150480760"/>
      <w:r/>
      <w:bookmarkStart w:id="161" w:name="_Toc265228360"/>
      <w:r/>
      <w:bookmarkStart w:id="162" w:name="_Toc520356146"/>
      <w:r/>
      <w:bookmarkStart w:id="163" w:name="_Toc226309766"/>
      <w:r>
        <w:rPr>
          <w:rFonts w:ascii="Times New Roman" w:hAnsi="Times New Roman" w:eastAsia="宋体" w:cs="Times New Roman"/>
          <w:sz w:val="28"/>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政府采购政策（包括但不限于下列具体政策要求）</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进口产品</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本项目不适用。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中小企业、监狱企业及残疾人福利性单位</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中小企业定义：</w:t>
      </w:r>
      <w:r>
        <w:rPr>
          <w:rFonts w:ascii="Times New Roman" w:hAnsi="Times New Roman" w:eastAsia="宋体" w:cs="Times New Roman"/>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中小企业是</w:t>
      </w:r>
      <w:r>
        <w:rPr>
          <w:rFonts w:ascii="Times New Roman" w:hAnsi="Times New Roman" w:eastAsia="宋体" w:cs="Times New Roman"/>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Times New Roman"/>
          <w:color w:val="000000"/>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供应商提供的服务符合下列情形的，享受中小企业扶持政策：</w:t>
      </w:r>
      <w:r>
        <w:rPr>
          <w:rFonts w:ascii="Times New Roman" w:hAnsi="Times New Roman" w:eastAsia="宋体" w:cs="Times New Roman"/>
          <w:color w:val="000000"/>
          <w:sz w:val="24"/>
          <w:highlight w:val="none"/>
        </w:rPr>
      </w:r>
      <w:r/>
    </w:p>
    <w:p>
      <w:pPr>
        <w:pStyle w:val="1039"/>
        <w:ind w:left="2835"/>
        <w:spacing w:line="360" w:lineRule="auto"/>
        <w:tabs>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残疾人福利单位定义：享受政府采购支持政策的残疾人福利性单位应当同时满足以下条件：</w:t>
      </w:r>
      <w:r>
        <w:rPr>
          <w:rFonts w:ascii="Times New Roman" w:hAnsi="Times New Roman" w:eastAsia="宋体" w:cs="Times New Roman"/>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安置的残疾人占本单位在职职工人数的比例不低于25%（含25%），并且安置的残疾人人数不少于10 人（含10 人）；</w:t>
      </w:r>
      <w:r>
        <w:rPr>
          <w:rFonts w:ascii="Times New Roman" w:hAnsi="Times New Roman" w:eastAsia="宋体" w:cs="Times New Roman"/>
          <w:color w:val="000000"/>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依法与安置的每位残疾人签订了一年以上（含一年）的劳动合同或服务协议；</w:t>
      </w:r>
      <w:r>
        <w:rPr>
          <w:rFonts w:ascii="Times New Roman" w:hAnsi="Times New Roman" w:eastAsia="宋体" w:cs="Times New Roman"/>
          <w:color w:val="000000"/>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为安置的每位残疾人按月足额缴纳了基本养老保险、基本医疗保险、失业保险、工伤保险和生育保险等社会保险费；</w:t>
      </w:r>
      <w:r>
        <w:rPr>
          <w:rFonts w:ascii="Times New Roman" w:hAnsi="Times New Roman" w:eastAsia="宋体" w:cs="Times New Roman"/>
          <w:color w:val="000000"/>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通过银行等金融机构向安置的每位残疾人，按月支付了不低于单位所在区县适用的经省级人民政府批准的月最低工资标准的工资；</w:t>
      </w:r>
      <w:r>
        <w:rPr>
          <w:rFonts w:ascii="Times New Roman" w:hAnsi="Times New Roman" w:eastAsia="宋体" w:cs="Times New Roman"/>
          <w:color w:val="000000"/>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Times New Roman"/>
          <w:color w:val="000000"/>
          <w:sz w:val="24"/>
          <w:highlight w:val="none"/>
        </w:rPr>
      </w:r>
      <w:r/>
    </w:p>
    <w:p>
      <w:pPr>
        <w:pStyle w:val="1039"/>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Times New Roman"/>
          <w:color w:val="000000"/>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本项目是否专门面向中小企业预留采购份额见第一章《磋商邀请》。</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采购标的对应的中小企业划分标准所属行业见《供应商须知资料表》。</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小微企业价格评审优惠的政策调整：见第三章《评审方法和评审标准》。</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政府采购节能产品、环境标志产品</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本项目不适用。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支持乡村产业振兴管理</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本项目不适用。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正版软件</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本项目不适用。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政府采购创新产品政策</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本项目不适用。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绿色采购政策</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 w:val="left" w:pos="2014" w:leader="none"/>
        </w:tabs>
        <w:rPr>
          <w:rFonts w:ascii="Times New Roman" w:hAnsi="Times New Roman" w:eastAsia="宋体" w:cs="Times New Roman"/>
          <w:highlight w:val="none"/>
        </w:rPr>
      </w:pPr>
      <w:r>
        <w:rPr>
          <w:rFonts w:ascii="Times New Roman" w:hAnsi="Times New Roman" w:eastAsia="宋体" w:cs="Times New Roman"/>
          <w:sz w:val="24"/>
          <w:highlight w:val="none"/>
        </w:rPr>
        <w:t xml:space="preserve">本项目不适用。</w:t>
      </w:r>
      <w:r>
        <w:rPr>
          <w:rFonts w:ascii="Times New Roman" w:hAnsi="Times New Roman" w:eastAsia="宋体" w:cs="Times New Roman"/>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响应费用</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供应商应自行承担所有与准备和参加磋商有关的费用，无论磋商的结果如何，采购人或采购代理机构在任何情况下均无承担这些费用的义务和责任。</w:t>
      </w:r>
      <w:r>
        <w:rPr>
          <w:rFonts w:ascii="Times New Roman" w:hAnsi="Times New Roman" w:eastAsia="宋体" w:cs="Times New Roman"/>
          <w:sz w:val="24"/>
          <w:highlight w:val="none"/>
        </w:rPr>
      </w:r>
      <w:r/>
    </w:p>
    <w:p>
      <w:pPr>
        <w:pStyle w:val="1039"/>
        <w:ind w:left="1080"/>
        <w:spacing w:line="360" w:lineRule="auto"/>
        <w:tabs>
          <w:tab w:val="left" w:pos="1080" w:leader="none"/>
        </w:tabs>
        <w:rPr>
          <w:rFonts w:ascii="Times New Roman" w:hAnsi="Times New Roman" w:eastAsia="宋体" w:cs="Times New Roman"/>
          <w:sz w:val="28"/>
          <w:highlight w:val="none"/>
        </w:rPr>
      </w:pPr>
      <w:r/>
      <w:bookmarkStart w:id="164" w:name="_1.8_计量单位"/>
      <w:r/>
      <w:bookmarkEnd w:id="164"/>
      <w:r>
        <w:rPr>
          <w:rFonts w:ascii="Times New Roman" w:hAnsi="Times New Roman" w:eastAsia="宋体" w:cs="Times New Roman"/>
          <w:sz w:val="28"/>
          <w:highlight w:val="none"/>
        </w:rPr>
      </w:r>
      <w:r/>
    </w:p>
    <w:p>
      <w:pPr>
        <w:pStyle w:val="1039"/>
        <w:jc w:val="center"/>
        <w:keepLines/>
        <w:keepNext/>
        <w:spacing w:before="0" w:line="360" w:lineRule="auto"/>
        <w:widowControl w:val="off"/>
        <w:rPr>
          <w:rFonts w:ascii="Times New Roman" w:hAnsi="Times New Roman" w:eastAsia="宋体" w:cs="Times New Roman"/>
          <w:b/>
          <w:sz w:val="28"/>
          <w:szCs w:val="20"/>
          <w:highlight w:val="none"/>
          <w:lang w:val="en-US" w:eastAsia="zh-CN" w:bidi="ar-SA"/>
        </w:rPr>
        <w:outlineLvl w:val="1"/>
      </w:pPr>
      <w:r>
        <w:rPr>
          <w:rFonts w:ascii="Times New Roman" w:hAnsi="Times New Roman" w:eastAsia="宋体" w:cs="Times New Roman"/>
          <w:b/>
          <w:sz w:val="28"/>
          <w:szCs w:val="20"/>
          <w:highlight w:val="none"/>
          <w:lang w:val="en-US" w:eastAsia="zh-CN" w:bidi="ar-SA"/>
        </w:rPr>
        <w:t xml:space="preserve">二   竞争性磋商文件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cs="Times New Roman"/>
          <w:b/>
          <w:sz w:val="28"/>
          <w:szCs w:val="20"/>
          <w:highlight w:val="none"/>
          <w:lang w:val="en-US" w:eastAsia="zh-CN" w:bidi="ar-SA"/>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165" w:name="_Toc151193837"/>
      <w:r/>
      <w:bookmarkStart w:id="166" w:name="_Toc305158791"/>
      <w:r/>
      <w:bookmarkStart w:id="167" w:name="_Toc520356147"/>
      <w:r/>
      <w:bookmarkStart w:id="168" w:name="_Toc127151523"/>
      <w:r/>
      <w:bookmarkStart w:id="169" w:name="_Toc150509274"/>
      <w:r/>
      <w:bookmarkStart w:id="170" w:name="_Toc164608637"/>
      <w:r/>
      <w:bookmarkStart w:id="171" w:name="_Toc226965713"/>
      <w:r/>
      <w:bookmarkStart w:id="172" w:name="_Toc151193911"/>
      <w:r/>
      <w:bookmarkStart w:id="173" w:name="_Toc127151724"/>
      <w:r/>
      <w:bookmarkStart w:id="174" w:name="_Toc264969213"/>
      <w:r/>
      <w:bookmarkStart w:id="175" w:name="_Toc265228361"/>
      <w:r/>
      <w:bookmarkStart w:id="176" w:name="_Toc226965796"/>
      <w:r/>
      <w:bookmarkStart w:id="177" w:name="_Toc150774623"/>
      <w:r/>
      <w:bookmarkStart w:id="178" w:name="_Toc151190150"/>
      <w:r/>
      <w:bookmarkStart w:id="179" w:name="_Toc150774728"/>
      <w:r/>
      <w:bookmarkStart w:id="180" w:name="_Toc164229218"/>
      <w:r/>
      <w:bookmarkStart w:id="181" w:name="_Toc149720816"/>
      <w:r/>
      <w:bookmarkStart w:id="182" w:name="_Toc151193765"/>
      <w:r/>
      <w:bookmarkStart w:id="183" w:name="_Toc226337219"/>
      <w:r/>
      <w:bookmarkStart w:id="184" w:name="_Toc150480761"/>
      <w:r/>
      <w:bookmarkStart w:id="185" w:name="_Toc164608792"/>
      <w:r/>
      <w:bookmarkStart w:id="186" w:name="_Toc195842888"/>
      <w:r/>
      <w:bookmarkStart w:id="187" w:name="_Toc164351617"/>
      <w:r/>
      <w:bookmarkStart w:id="188" w:name="_Toc305158865"/>
      <w:r/>
      <w:bookmarkStart w:id="189" w:name="_Toc127161437"/>
      <w:r/>
      <w:bookmarkStart w:id="190" w:name="_Toc226309767"/>
      <w:r/>
      <w:bookmarkStart w:id="191" w:name="_Toc164229364"/>
      <w:r/>
      <w:bookmarkStart w:id="192" w:name="_Toc142311025"/>
      <w:r/>
      <w:bookmarkStart w:id="193" w:name="_Toc151193693"/>
      <w:r/>
      <w:bookmarkStart w:id="194" w:name="_Toc151193621"/>
      <w:r>
        <w:rPr>
          <w:rFonts w:ascii="Times New Roman" w:hAnsi="Times New Roman" w:eastAsia="宋体" w:cs="Times New Roman"/>
          <w:sz w:val="24"/>
          <w:highlight w:val="none"/>
        </w:rPr>
        <w:t xml:space="preserve">竞争性磋商文件构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cs="Times New Roman"/>
          <w:sz w:val="24"/>
          <w:highlight w:val="none"/>
        </w:rPr>
        <w:t xml:space="preserve">成</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竞争性磋商文件包括以下部分：</w:t>
      </w:r>
      <w:r>
        <w:rPr>
          <w:rFonts w:ascii="Times New Roman" w:hAnsi="Times New Roman" w:eastAsia="宋体" w:cs="Times New Roman"/>
          <w:sz w:val="24"/>
          <w:highlight w:val="none"/>
        </w:rPr>
      </w:r>
      <w:r/>
    </w:p>
    <w:p>
      <w:pPr>
        <w:pStyle w:val="1039"/>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磋商邀请</w:t>
      </w:r>
      <w:r>
        <w:rPr>
          <w:rFonts w:ascii="Times New Roman" w:hAnsi="Times New Roman" w:eastAsia="宋体" w:cs="Times New Roman"/>
          <w:sz w:val="24"/>
          <w:highlight w:val="none"/>
        </w:rPr>
      </w:r>
      <w:r/>
    </w:p>
    <w:p>
      <w:pPr>
        <w:pStyle w:val="1039"/>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供应商须知</w:t>
      </w:r>
      <w:r>
        <w:rPr>
          <w:rFonts w:ascii="Times New Roman" w:hAnsi="Times New Roman" w:eastAsia="宋体" w:cs="Times New Roman"/>
          <w:sz w:val="24"/>
          <w:highlight w:val="none"/>
        </w:rPr>
      </w:r>
      <w:r/>
    </w:p>
    <w:p>
      <w:pPr>
        <w:pStyle w:val="1039"/>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评审程序、评审方法和评审标准</w:t>
      </w:r>
      <w:r>
        <w:rPr>
          <w:rFonts w:ascii="Times New Roman" w:hAnsi="Times New Roman" w:eastAsia="宋体" w:cs="Times New Roman"/>
          <w:sz w:val="24"/>
          <w:highlight w:val="none"/>
        </w:rPr>
      </w:r>
      <w:r/>
    </w:p>
    <w:p>
      <w:pPr>
        <w:pStyle w:val="1039"/>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采购需求</w:t>
      </w:r>
      <w:r>
        <w:rPr>
          <w:rFonts w:ascii="Times New Roman" w:hAnsi="Times New Roman" w:eastAsia="宋体" w:cs="Times New Roman"/>
          <w:sz w:val="24"/>
          <w:highlight w:val="none"/>
        </w:rPr>
      </w:r>
      <w:r/>
    </w:p>
    <w:p>
      <w:pPr>
        <w:pStyle w:val="1039"/>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合同草案条款</w:t>
      </w:r>
      <w:r>
        <w:rPr>
          <w:rFonts w:ascii="Times New Roman" w:hAnsi="Times New Roman" w:eastAsia="宋体" w:cs="Times New Roman"/>
          <w:sz w:val="24"/>
          <w:highlight w:val="none"/>
        </w:rPr>
      </w:r>
      <w:r/>
    </w:p>
    <w:p>
      <w:pPr>
        <w:pStyle w:val="1039"/>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响应文件格式</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900" w:leader="none"/>
          <w:tab w:val="left" w:pos="1080" w:leader="none"/>
          <w:tab w:val="left" w:pos="2014"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对竞争性磋商文件的澄清或修改</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采购人或采购代理机构对已发出的竞争性磋商文件进行必要澄清或者修改的，将在原公告发布媒体上以发布更正公告的形式通知所有获取磋商文件的供应商。</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Times New Roman" w:hAnsi="Times New Roman" w:eastAsia="宋体" w:cs="Times New Roman"/>
          <w:sz w:val="24"/>
          <w:highlight w:val="none"/>
        </w:rPr>
      </w:r>
      <w:r/>
    </w:p>
    <w:p>
      <w:pPr>
        <w:pStyle w:val="1039"/>
        <w:ind w:left="1080"/>
        <w:spacing w:line="360" w:lineRule="auto"/>
        <w:tabs>
          <w:tab w:val="left" w:pos="1080" w:leader="none"/>
          <w:tab w:val="left" w:pos="1561" w:leader="none"/>
        </w:tabs>
        <w:rPr>
          <w:rFonts w:ascii="Times New Roman" w:hAnsi="Times New Roman" w:eastAsia="宋体" w:cs="Times New Roman"/>
          <w:sz w:val="28"/>
          <w:highlight w:val="none"/>
        </w:rPr>
      </w:pPr>
      <w:r/>
      <w:bookmarkStart w:id="195" w:name="_Toc305158868"/>
      <w:r/>
      <w:bookmarkStart w:id="196" w:name="_Toc264969216"/>
      <w:r/>
      <w:bookmarkStart w:id="197" w:name="_Toc305158794"/>
      <w:r/>
      <w:bookmarkStart w:id="198" w:name="_Toc151193624"/>
      <w:r/>
      <w:bookmarkStart w:id="199" w:name="_Toc127151526"/>
      <w:r/>
      <w:bookmarkStart w:id="200" w:name="_Toc151193914"/>
      <w:r/>
      <w:bookmarkStart w:id="201" w:name="_Toc516367020"/>
      <w:r/>
      <w:bookmarkStart w:id="202" w:name="_Toc520356150"/>
      <w:r/>
      <w:bookmarkStart w:id="203" w:name="_Toc142311028"/>
      <w:r/>
      <w:bookmarkStart w:id="204" w:name="_Toc151193768"/>
      <w:r/>
      <w:bookmarkStart w:id="205" w:name="_Toc150774731"/>
      <w:r/>
      <w:bookmarkStart w:id="206" w:name="_Toc150774626"/>
      <w:r/>
      <w:bookmarkStart w:id="207" w:name="_Toc151193840"/>
      <w:r/>
      <w:bookmarkStart w:id="208" w:name="_Toc265228364"/>
      <w:r/>
      <w:bookmarkStart w:id="209" w:name="_Toc150480764"/>
      <w:r/>
      <w:bookmarkStart w:id="210" w:name="_Toc226965716"/>
      <w:r/>
      <w:bookmarkStart w:id="211" w:name="_Toc226337222"/>
      <w:r/>
      <w:bookmarkStart w:id="212" w:name="_Toc195842891"/>
      <w:r/>
      <w:bookmarkStart w:id="213" w:name="_Toc151193696"/>
      <w:r/>
      <w:bookmarkStart w:id="214" w:name="_Toc226309770"/>
      <w:r/>
      <w:bookmarkStart w:id="215" w:name="_Toc151190153"/>
      <w:r/>
      <w:bookmarkStart w:id="216" w:name="_Toc226965799"/>
      <w:r/>
      <w:bookmarkStart w:id="217" w:name="_Toc150509277"/>
      <w:r>
        <w:rPr>
          <w:rFonts w:ascii="Times New Roman" w:hAnsi="Times New Roman" w:eastAsia="宋体" w:cs="Times New Roman"/>
          <w:sz w:val="28"/>
          <w:highlight w:val="none"/>
        </w:rPr>
      </w:r>
      <w:r/>
    </w:p>
    <w:p>
      <w:pPr>
        <w:pStyle w:val="1039"/>
        <w:jc w:val="center"/>
        <w:keepLines/>
        <w:keepNext/>
        <w:spacing w:before="0" w:line="360" w:lineRule="auto"/>
        <w:widowControl w:val="off"/>
        <w:rPr>
          <w:rFonts w:ascii="Times New Roman" w:hAnsi="Times New Roman" w:eastAsia="宋体" w:cs="Times New Roman"/>
          <w:b/>
          <w:sz w:val="28"/>
          <w:szCs w:val="20"/>
          <w:highlight w:val="none"/>
          <w:lang w:val="en-US" w:eastAsia="zh-CN" w:bidi="ar-SA"/>
        </w:rPr>
        <w:outlineLvl w:val="1"/>
      </w:pPr>
      <w:r>
        <w:rPr>
          <w:rFonts w:ascii="Times New Roman" w:hAnsi="Times New Roman" w:eastAsia="宋体" w:cs="Times New Roman"/>
          <w:b/>
          <w:sz w:val="28"/>
          <w:szCs w:val="20"/>
          <w:highlight w:val="none"/>
          <w:lang w:val="en-US" w:eastAsia="zh-CN" w:bidi="ar-SA"/>
        </w:rPr>
        <w:t xml:space="preserve">三   响应文件</w:t>
      </w:r>
      <w:bookmarkEnd w:id="201"/>
      <w:r>
        <w:rPr>
          <w:rFonts w:ascii="Times New Roman" w:hAnsi="Times New Roman" w:eastAsia="宋体" w:cs="Times New Roman"/>
          <w:b/>
          <w:sz w:val="28"/>
          <w:szCs w:val="20"/>
          <w:highlight w:val="none"/>
          <w:lang w:val="en-US" w:eastAsia="zh-CN" w:bidi="ar-SA"/>
        </w:rPr>
        <w:t xml:space="preserve">的编制</w:t>
      </w:r>
      <w:bookmarkEnd w:id="195"/>
      <w:r/>
      <w:bookmarkEnd w:id="196"/>
      <w:r/>
      <w:bookmarkEnd w:id="197"/>
      <w:r/>
      <w:bookmarkEnd w:id="198"/>
      <w:r/>
      <w:bookmarkEnd w:id="199"/>
      <w:r/>
      <w:bookmarkEnd w:id="200"/>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Pr>
          <w:rFonts w:ascii="Times New Roman" w:hAnsi="Times New Roman" w:eastAsia="宋体" w:cs="Times New Roman"/>
          <w:b/>
          <w:sz w:val="28"/>
          <w:szCs w:val="20"/>
          <w:highlight w:val="none"/>
          <w:lang w:val="en-US" w:eastAsia="zh-CN" w:bidi="ar-SA"/>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218" w:name="_Toc150480765"/>
      <w:r/>
      <w:bookmarkStart w:id="219" w:name="_Toc520356151"/>
      <w:r/>
      <w:bookmarkStart w:id="220" w:name="_Toc151193915"/>
      <w:r/>
      <w:bookmarkStart w:id="221" w:name="_Toc164229222"/>
      <w:r/>
      <w:bookmarkStart w:id="222" w:name="_Toc164608796"/>
      <w:r/>
      <w:bookmarkStart w:id="223" w:name="_Toc151193841"/>
      <w:r/>
      <w:bookmarkStart w:id="224" w:name="_Toc226965800"/>
      <w:r/>
      <w:bookmarkStart w:id="225" w:name="_Toc127161441"/>
      <w:r/>
      <w:bookmarkStart w:id="226" w:name="_Toc151190154"/>
      <w:r/>
      <w:bookmarkStart w:id="227" w:name="_Toc150774732"/>
      <w:r/>
      <w:bookmarkStart w:id="228" w:name="_Toc305158795"/>
      <w:r/>
      <w:bookmarkStart w:id="229" w:name="_Toc195842892"/>
      <w:r/>
      <w:bookmarkStart w:id="230" w:name="_Toc516367021"/>
      <w:r/>
      <w:bookmarkStart w:id="231" w:name="_Toc127151728"/>
      <w:r/>
      <w:bookmarkStart w:id="232" w:name="_Toc164229368"/>
      <w:r/>
      <w:bookmarkStart w:id="233" w:name="_Toc151193769"/>
      <w:r/>
      <w:bookmarkStart w:id="234" w:name="_Toc226337223"/>
      <w:r/>
      <w:bookmarkStart w:id="235" w:name="_Toc164608641"/>
      <w:r/>
      <w:bookmarkStart w:id="236" w:name="_Toc265228365"/>
      <w:r/>
      <w:bookmarkStart w:id="237" w:name="_Toc142311029"/>
      <w:r/>
      <w:bookmarkStart w:id="238" w:name="_Toc151193625"/>
      <w:r/>
      <w:bookmarkStart w:id="239" w:name="_Toc149720820"/>
      <w:r/>
      <w:bookmarkStart w:id="240" w:name="_Toc127151527"/>
      <w:r/>
      <w:bookmarkStart w:id="241" w:name="_Toc150509278"/>
      <w:r/>
      <w:bookmarkStart w:id="242" w:name="_Toc150774627"/>
      <w:r/>
      <w:bookmarkStart w:id="243" w:name="_Toc305158869"/>
      <w:r/>
      <w:bookmarkStart w:id="244" w:name="_Toc264969217"/>
      <w:r/>
      <w:bookmarkStart w:id="245" w:name="_Toc226965717"/>
      <w:r/>
      <w:bookmarkStart w:id="246" w:name="_Toc151193697"/>
      <w:r/>
      <w:bookmarkStart w:id="247" w:name="_Toc226309771"/>
      <w:r/>
      <w:bookmarkStart w:id="248" w:name="_Toc164351621"/>
      <w:r>
        <w:rPr>
          <w:rFonts w:ascii="Times New Roman" w:hAnsi="Times New Roman" w:eastAsia="宋体" w:cs="Times New Roman"/>
          <w:sz w:val="24"/>
          <w:highlight w:val="none"/>
        </w:rPr>
        <w:t xml:space="preserve">响应范围、竞争性磋商文件中计量单位的使用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ascii="Times New Roman" w:hAnsi="Times New Roman" w:eastAsia="宋体" w:cs="Times New Roman"/>
          <w:sz w:val="24"/>
          <w:highlight w:val="none"/>
        </w:rPr>
        <w:t xml:space="preserve">及磋商语言</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除竞争性磋商文件有特殊要求外，本项目磋商所使用的计量单位，应采用中华人民共和国法定计量单位。</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249" w:name="_Toc150774733"/>
      <w:r/>
      <w:bookmarkStart w:id="250" w:name="_Toc151193770"/>
      <w:r/>
      <w:bookmarkStart w:id="251" w:name="_Toc151193626"/>
      <w:r/>
      <w:bookmarkStart w:id="252" w:name="_Toc127151528"/>
      <w:r/>
      <w:bookmarkStart w:id="253" w:name="_Toc151193842"/>
      <w:r/>
      <w:bookmarkStart w:id="254" w:name="_Toc149720821"/>
      <w:r/>
      <w:bookmarkStart w:id="255" w:name="_Toc265228366"/>
      <w:r/>
      <w:bookmarkStart w:id="256" w:name="_Toc226965718"/>
      <w:r/>
      <w:bookmarkStart w:id="257" w:name="_Toc164351622"/>
      <w:r/>
      <w:bookmarkStart w:id="258" w:name="_Toc150480766"/>
      <w:r/>
      <w:bookmarkStart w:id="259" w:name="_Toc164608797"/>
      <w:r/>
      <w:bookmarkStart w:id="260" w:name="_Toc151190155"/>
      <w:r/>
      <w:bookmarkStart w:id="261" w:name="_Toc164229223"/>
      <w:r/>
      <w:bookmarkStart w:id="262" w:name="_Toc164608642"/>
      <w:r/>
      <w:bookmarkStart w:id="263" w:name="_Toc127161442"/>
      <w:r/>
      <w:bookmarkStart w:id="264" w:name="_Toc226309772"/>
      <w:r/>
      <w:bookmarkStart w:id="265" w:name="_Toc516367022"/>
      <w:r/>
      <w:bookmarkStart w:id="266" w:name="_Toc142311030"/>
      <w:r/>
      <w:bookmarkStart w:id="267" w:name="_Toc151193916"/>
      <w:r/>
      <w:bookmarkStart w:id="268" w:name="_Toc164229369"/>
      <w:r/>
      <w:bookmarkStart w:id="269" w:name="_Ref467306676"/>
      <w:r/>
      <w:bookmarkStart w:id="270" w:name="_Ref467306195"/>
      <w:r/>
      <w:bookmarkStart w:id="271" w:name="_Toc150509279"/>
      <w:r/>
      <w:bookmarkStart w:id="272" w:name="_Toc151193698"/>
      <w:r/>
      <w:bookmarkStart w:id="273" w:name="_Toc226337224"/>
      <w:r/>
      <w:bookmarkStart w:id="274" w:name="_Toc195842893"/>
      <w:r/>
      <w:bookmarkStart w:id="275" w:name="_Toc150774628"/>
      <w:r/>
      <w:bookmarkStart w:id="276" w:name="_Toc520356152"/>
      <w:r/>
      <w:bookmarkStart w:id="277" w:name="_Toc127151729"/>
      <w:r/>
      <w:bookmarkStart w:id="278" w:name="_Toc305158796"/>
      <w:r/>
      <w:bookmarkStart w:id="279" w:name="_Toc226965801"/>
      <w:r/>
      <w:bookmarkStart w:id="280" w:name="_Toc305158870"/>
      <w:r/>
      <w:bookmarkStart w:id="281" w:name="_Toc264969218"/>
      <w:r>
        <w:rPr>
          <w:rFonts w:ascii="Times New Roman" w:hAnsi="Times New Roman" w:eastAsia="宋体" w:cs="Times New Roman"/>
          <w:sz w:val="24"/>
          <w:highlight w:val="none"/>
        </w:rPr>
        <w:t xml:space="preserve">响应文件</w:t>
      </w:r>
      <w:bookmarkEnd w:id="265"/>
      <w:r/>
      <w:bookmarkEnd w:id="269"/>
      <w:r/>
      <w:bookmarkEnd w:id="270"/>
      <w:r>
        <w:rPr>
          <w:rFonts w:ascii="Times New Roman" w:hAnsi="Times New Roman" w:eastAsia="宋体" w:cs="Times New Roman"/>
          <w:sz w:val="24"/>
          <w:highlight w:val="none"/>
        </w:rPr>
        <w:t xml:space="preserve">构成</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6"/>
      <w:r/>
      <w:bookmarkEnd w:id="267"/>
      <w:r/>
      <w:bookmarkEnd w:id="268"/>
      <w:r/>
      <w:bookmarkEnd w:id="271"/>
      <w:r/>
      <w:bookmarkEnd w:id="272"/>
      <w:r/>
      <w:bookmarkEnd w:id="273"/>
      <w:r/>
      <w:bookmarkEnd w:id="274"/>
      <w:r/>
      <w:bookmarkEnd w:id="275"/>
      <w:r/>
      <w:bookmarkEnd w:id="276"/>
      <w:r/>
      <w:bookmarkEnd w:id="277"/>
      <w:r/>
      <w:bookmarkEnd w:id="278"/>
      <w:r/>
      <w:bookmarkEnd w:id="279"/>
      <w:r/>
      <w:bookmarkEnd w:id="280"/>
      <w:r/>
      <w:bookmarkEnd w:id="281"/>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bookmarkStart w:id="282" w:name="_Ref467052588"/>
      <w:r>
        <w:rPr>
          <w:rFonts w:ascii="Times New Roman" w:hAnsi="Times New Roman" w:eastAsia="宋体" w:cs="Times New Roman"/>
          <w:sz w:val="24"/>
          <w:highlight w:val="none"/>
        </w:rPr>
        <w:t xml:space="preserve">供应商应当按照竞争性磋商文件的要求编制响应文件，并对其提交的响应文件的真实性、合法性承担法律责任。响应文件的部分格式要求，见第六章《响应文件格式》。</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sz w:val="24"/>
          <w:highlight w:val="none"/>
        </w:rPr>
        <w:t xml:space="preserve">否则响应无效</w:t>
      </w:r>
      <w:r>
        <w:rPr>
          <w:rFonts w:ascii="Times New Roman" w:hAnsi="Times New Roman" w:eastAsia="宋体" w:cs="Times New Roman"/>
          <w:sz w:val="24"/>
          <w:highlight w:val="none"/>
        </w:rPr>
        <w:t xml:space="preserve">。未标记“实质性格式”的文件和竞争性磋商文件未提供格式的内容，可由供应商自行编写。</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第三章《评审方法和评审标准》中涉及的证明文件。</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供应商认为应附的其他材料。</w:t>
      </w:r>
      <w:bookmarkEnd w:id="282"/>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283" w:name="_Toc520356155"/>
      <w:r/>
      <w:bookmarkStart w:id="284" w:name="_Toc164229371"/>
      <w:r/>
      <w:bookmarkStart w:id="285" w:name="_Toc151193918"/>
      <w:r/>
      <w:bookmarkStart w:id="286" w:name="_Toc127161444"/>
      <w:r/>
      <w:bookmarkStart w:id="287" w:name="_Toc151193628"/>
      <w:r/>
      <w:bookmarkStart w:id="288" w:name="_Toc127151530"/>
      <w:r/>
      <w:bookmarkStart w:id="289" w:name="_Toc195842895"/>
      <w:r/>
      <w:bookmarkStart w:id="290" w:name="_Toc150480768"/>
      <w:r/>
      <w:bookmarkStart w:id="291" w:name="_Toc164229225"/>
      <w:r/>
      <w:bookmarkStart w:id="292" w:name="_Toc164608799"/>
      <w:r/>
      <w:bookmarkStart w:id="293" w:name="_Toc150774735"/>
      <w:r/>
      <w:bookmarkStart w:id="294" w:name="_Toc164351624"/>
      <w:r/>
      <w:bookmarkStart w:id="295" w:name="_Toc151193700"/>
      <w:r/>
      <w:bookmarkStart w:id="296" w:name="_Toc150774630"/>
      <w:r/>
      <w:bookmarkStart w:id="297" w:name="_Toc142311032"/>
      <w:r/>
      <w:bookmarkStart w:id="298" w:name="_Toc151193844"/>
      <w:r/>
      <w:bookmarkStart w:id="299" w:name="_Toc150509281"/>
      <w:r/>
      <w:bookmarkStart w:id="300" w:name="_Toc149720823"/>
      <w:r/>
      <w:bookmarkStart w:id="301" w:name="_Toc151193772"/>
      <w:r/>
      <w:bookmarkStart w:id="302" w:name="_Toc164608644"/>
      <w:r/>
      <w:bookmarkStart w:id="303" w:name="_Toc151190157"/>
      <w:r/>
      <w:bookmarkStart w:id="304" w:name="_Toc127151731"/>
      <w:r>
        <w:rPr>
          <w:rFonts w:ascii="Times New Roman" w:hAnsi="Times New Roman" w:eastAsia="宋体" w:cs="Times New Roman"/>
          <w:sz w:val="24"/>
          <w:highlight w:val="none"/>
        </w:rPr>
        <w:t xml:space="preserve">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所有响应均以人民币报价。</w:t>
      </w:r>
      <w:r>
        <w:rPr>
          <w:rFonts w:ascii="Times New Roman" w:hAnsi="Times New Roman" w:eastAsia="宋体" w:cs="Times New Roman"/>
          <w:sz w:val="24"/>
          <w:highlight w:val="none"/>
        </w:rPr>
      </w:r>
      <w:r/>
    </w:p>
    <w:p>
      <w:pPr>
        <w:pStyle w:val="1039"/>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按照竞争性磋商文件要求完成本项目的全部服务费用。</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w:t>
      </w:r>
      <w:r>
        <w:rPr>
          <w:rFonts w:ascii="Times New Roman" w:hAnsi="Times New Roman" w:eastAsia="宋体" w:cs="Times New Roman"/>
          <w:color w:val="000000"/>
          <w:sz w:val="24"/>
          <w:highlight w:val="none"/>
        </w:rPr>
        <w:t xml:space="preserve">竞争性磋商文件</w:t>
      </w:r>
      <w:r>
        <w:rPr>
          <w:rFonts w:ascii="Times New Roman" w:hAnsi="Times New Roman" w:eastAsia="宋体" w:cs="Times New Roman"/>
          <w:sz w:val="24"/>
          <w:highlight w:val="none"/>
        </w:rPr>
        <w:t xml:space="preserve">另有规定的除外），否则其</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磋商保证金</w:t>
      </w:r>
      <w:r>
        <w:rPr>
          <w:rFonts w:ascii="Times New Roman" w:hAnsi="Times New Roman" w:eastAsia="宋体" w:cs="Times New Roman"/>
          <w:sz w:val="24"/>
          <w:highlight w:val="none"/>
        </w:rPr>
      </w:r>
      <w:r/>
    </w:p>
    <w:p>
      <w:pPr>
        <w:pStyle w:val="1039"/>
        <w:ind w:firstLine="36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根据江苏省和常州市的相关文件规定，免收保证金。</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响应有效期</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响应文件应在本竞争性磋商文件《供应商须知资料表》中规定的响应有效期内保持有效，响应有效期少于竞争性磋商文件规定期限的，其</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305" w:name="_Toc149720826"/>
      <w:r/>
      <w:bookmarkStart w:id="306" w:name="_Toc151193921"/>
      <w:r/>
      <w:bookmarkStart w:id="307" w:name="_Toc151193847"/>
      <w:r/>
      <w:bookmarkStart w:id="308" w:name="_Toc264969223"/>
      <w:r/>
      <w:bookmarkStart w:id="309" w:name="_Toc150774738"/>
      <w:r/>
      <w:bookmarkStart w:id="310" w:name="_Toc305158875"/>
      <w:r/>
      <w:bookmarkStart w:id="311" w:name="_Toc226965806"/>
      <w:r/>
      <w:bookmarkStart w:id="312" w:name="_Toc226337229"/>
      <w:r/>
      <w:bookmarkStart w:id="313" w:name="_Toc164229228"/>
      <w:r/>
      <w:bookmarkStart w:id="314" w:name="_Toc226965723"/>
      <w:r/>
      <w:bookmarkStart w:id="315" w:name="_Toc195842898"/>
      <w:r/>
      <w:bookmarkStart w:id="316" w:name="_Toc127161447"/>
      <w:r/>
      <w:bookmarkStart w:id="317" w:name="_Toc226309777"/>
      <w:r/>
      <w:bookmarkStart w:id="318" w:name="_Toc305158801"/>
      <w:r/>
      <w:bookmarkStart w:id="319" w:name="_Toc150509284"/>
      <w:r/>
      <w:bookmarkStart w:id="320" w:name="_Toc164608647"/>
      <w:r/>
      <w:bookmarkStart w:id="321" w:name="_Toc151193775"/>
      <w:r/>
      <w:bookmarkStart w:id="322" w:name="_Toc151193631"/>
      <w:r/>
      <w:bookmarkStart w:id="323" w:name="_Toc164608802"/>
      <w:r/>
      <w:bookmarkStart w:id="324" w:name="_Toc164351627"/>
      <w:r/>
      <w:bookmarkStart w:id="325" w:name="_Toc520356158"/>
      <w:r/>
      <w:bookmarkStart w:id="326" w:name="_Toc150480771"/>
      <w:r/>
      <w:bookmarkStart w:id="327" w:name="_Toc127151734"/>
      <w:r/>
      <w:bookmarkStart w:id="328" w:name="_Toc265228371"/>
      <w:r/>
      <w:bookmarkStart w:id="329" w:name="_Toc142311035"/>
      <w:r/>
      <w:bookmarkStart w:id="330" w:name="_Toc127151533"/>
      <w:r/>
      <w:bookmarkStart w:id="331" w:name="_Toc151190160"/>
      <w:r/>
      <w:bookmarkStart w:id="332" w:name="_Toc150774633"/>
      <w:r/>
      <w:bookmarkStart w:id="333" w:name="_Toc151193703"/>
      <w:r/>
      <w:bookmarkStart w:id="334" w:name="_Toc164229374"/>
      <w:r>
        <w:rPr>
          <w:rFonts w:ascii="Times New Roman" w:hAnsi="Times New Roman" w:eastAsia="宋体" w:cs="Times New Roman"/>
          <w:sz w:val="24"/>
          <w:highlight w:val="none"/>
        </w:rPr>
        <w:t xml:space="preserve">响应文件的签署</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cs="Times New Roman"/>
          <w:sz w:val="24"/>
          <w:highlight w:val="none"/>
        </w:rPr>
        <w:t xml:space="preserve">、盖章</w:t>
      </w:r>
      <w:r>
        <w:rPr>
          <w:rFonts w:ascii="Times New Roman" w:hAnsi="Times New Roman" w:eastAsia="宋体" w:cs="Times New Roman"/>
          <w:sz w:val="24"/>
          <w:highlight w:val="none"/>
        </w:rPr>
      </w:r>
      <w:r/>
    </w:p>
    <w:p>
      <w:pPr>
        <w:pStyle w:val="1039"/>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highlight w:val="none"/>
        </w:rPr>
      </w:pPr>
      <w:r/>
      <w:bookmarkStart w:id="335" w:name="_Toc520356159"/>
      <w:r/>
      <w:bookmarkStart w:id="336" w:name="_Toc305158876"/>
      <w:r/>
      <w:bookmarkStart w:id="337" w:name="_Toc150509285"/>
      <w:r/>
      <w:bookmarkStart w:id="338" w:name="_Toc195842899"/>
      <w:r/>
      <w:bookmarkStart w:id="339" w:name="_Toc264969224"/>
      <w:r/>
      <w:bookmarkStart w:id="340" w:name="_Toc142311036"/>
      <w:r/>
      <w:bookmarkStart w:id="341" w:name="_Toc151193776"/>
      <w:r/>
      <w:bookmarkStart w:id="342" w:name="_Toc226309778"/>
      <w:r/>
      <w:bookmarkStart w:id="343" w:name="_Toc150774739"/>
      <w:r/>
      <w:bookmarkStart w:id="344" w:name="_Toc226965724"/>
      <w:r/>
      <w:bookmarkStart w:id="345" w:name="_Toc226965807"/>
      <w:r/>
      <w:bookmarkStart w:id="346" w:name="_Toc151193922"/>
      <w:r/>
      <w:bookmarkStart w:id="347" w:name="_Toc226337230"/>
      <w:r/>
      <w:bookmarkStart w:id="348" w:name="_Toc151193704"/>
      <w:r/>
      <w:bookmarkStart w:id="349" w:name="_Toc305158802"/>
      <w:r/>
      <w:bookmarkStart w:id="350" w:name="_Toc151193848"/>
      <w:r/>
      <w:bookmarkStart w:id="351" w:name="_Toc150774634"/>
      <w:r/>
      <w:bookmarkStart w:id="352" w:name="_Toc151190161"/>
      <w:r/>
      <w:bookmarkStart w:id="353" w:name="_Toc127151534"/>
      <w:r/>
      <w:bookmarkStart w:id="354" w:name="_Toc151193632"/>
      <w:r/>
      <w:bookmarkStart w:id="355" w:name="_Toc265228372"/>
      <w:r/>
      <w:bookmarkStart w:id="356" w:name="_Toc150480772"/>
      <w:r>
        <w:rPr>
          <w:rFonts w:ascii="Times New Roman" w:hAnsi="Times New Roman" w:eastAsia="宋体" w:cs="Times New Roman"/>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竞争性磋商文件要求盖章的内容，一般通过投标文件编制工具加盖电子签章。</w:t>
      </w:r>
      <w:r>
        <w:rPr>
          <w:rFonts w:ascii="Times New Roman" w:hAnsi="Times New Roman" w:eastAsia="宋体" w:cs="Times New Roman"/>
          <w:sz w:val="24"/>
          <w:highlight w:val="none"/>
        </w:rPr>
      </w:r>
      <w:r/>
    </w:p>
    <w:p>
      <w:pPr>
        <w:pStyle w:val="1039"/>
        <w:ind w:left="357"/>
        <w:spacing w:line="360" w:lineRule="auto"/>
        <w:tabs>
          <w:tab w:val="left" w:pos="900" w:leader="none"/>
          <w:tab w:val="left" w:pos="1080" w:leader="none"/>
        </w:tabs>
        <w:rPr>
          <w:rFonts w:ascii="Times New Roman" w:hAnsi="Times New Roman" w:eastAsia="宋体" w:cs="Times New Roman"/>
          <w:highlight w:val="none"/>
        </w:rPr>
      </w:pPr>
      <w:r>
        <w:rPr>
          <w:rFonts w:ascii="Times New Roman" w:hAnsi="Times New Roman" w:eastAsia="宋体" w:cs="Times New Roman"/>
          <w:highlight w:val="none"/>
        </w:rPr>
      </w:r>
      <w:r/>
    </w:p>
    <w:p>
      <w:pPr>
        <w:pStyle w:val="1039"/>
        <w:jc w:val="center"/>
        <w:keepLines/>
        <w:keepNext/>
        <w:spacing w:before="0" w:line="360" w:lineRule="auto"/>
        <w:widowControl w:val="off"/>
        <w:rPr>
          <w:rFonts w:ascii="Times New Roman" w:hAnsi="Times New Roman" w:eastAsia="宋体" w:cs="Times New Roman"/>
          <w:b/>
          <w:sz w:val="28"/>
          <w:szCs w:val="20"/>
          <w:highlight w:val="none"/>
          <w:lang w:val="en-US" w:eastAsia="zh-CN" w:bidi="ar-SA"/>
        </w:rPr>
        <w:outlineLvl w:val="1"/>
      </w:pPr>
      <w:r>
        <w:rPr>
          <w:rFonts w:ascii="Times New Roman" w:hAnsi="Times New Roman" w:eastAsia="宋体" w:cs="Times New Roman"/>
          <w:b/>
          <w:sz w:val="28"/>
          <w:szCs w:val="20"/>
          <w:highlight w:val="none"/>
          <w:lang w:val="en-US" w:eastAsia="zh-CN" w:bidi="ar-SA"/>
        </w:rPr>
        <w:t xml:space="preserve">四   响应文件的提交</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ascii="Times New Roman" w:hAnsi="Times New Roman" w:eastAsia="宋体" w:cs="Times New Roman"/>
          <w:b/>
          <w:sz w:val="28"/>
          <w:szCs w:val="20"/>
          <w:highlight w:val="none"/>
          <w:lang w:val="en-US" w:eastAsia="zh-CN" w:bidi="ar-SA"/>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357" w:name="_Toc149720828"/>
      <w:r/>
      <w:bookmarkStart w:id="358" w:name="_Toc164608649"/>
      <w:r/>
      <w:bookmarkStart w:id="359" w:name="_Toc264969225"/>
      <w:r/>
      <w:bookmarkStart w:id="360" w:name="_Toc226309779"/>
      <w:r/>
      <w:bookmarkStart w:id="361" w:name="_Toc305158803"/>
      <w:r/>
      <w:bookmarkStart w:id="362" w:name="_Toc195842900"/>
      <w:r/>
      <w:bookmarkStart w:id="363" w:name="_Toc142311037"/>
      <w:r/>
      <w:bookmarkStart w:id="364" w:name="_Toc164229376"/>
      <w:r/>
      <w:bookmarkStart w:id="365" w:name="_Toc305158877"/>
      <w:r/>
      <w:bookmarkStart w:id="366" w:name="_Toc150509286"/>
      <w:r/>
      <w:bookmarkStart w:id="367" w:name="_Toc164229230"/>
      <w:r/>
      <w:bookmarkStart w:id="368" w:name="_Toc226965725"/>
      <w:r/>
      <w:bookmarkStart w:id="369" w:name="_Toc151190162"/>
      <w:r/>
      <w:bookmarkStart w:id="370" w:name="_Toc151193923"/>
      <w:r/>
      <w:bookmarkStart w:id="371" w:name="_Toc520356160"/>
      <w:r/>
      <w:bookmarkStart w:id="372" w:name="_Toc150480773"/>
      <w:r/>
      <w:bookmarkStart w:id="373" w:name="_Toc127161449"/>
      <w:r/>
      <w:bookmarkStart w:id="374" w:name="_Toc151193777"/>
      <w:r/>
      <w:bookmarkStart w:id="375" w:name="_Toc150774740"/>
      <w:r/>
      <w:bookmarkStart w:id="376" w:name="_Toc127151736"/>
      <w:r/>
      <w:bookmarkStart w:id="377" w:name="_Toc164608804"/>
      <w:r/>
      <w:bookmarkStart w:id="378" w:name="_Toc127151535"/>
      <w:r/>
      <w:bookmarkStart w:id="379" w:name="_Toc150774635"/>
      <w:r/>
      <w:bookmarkStart w:id="380" w:name="_Toc164351629"/>
      <w:r/>
      <w:bookmarkStart w:id="381" w:name="_Toc226965808"/>
      <w:r/>
      <w:bookmarkStart w:id="382" w:name="_Toc151193633"/>
      <w:r/>
      <w:bookmarkStart w:id="383" w:name="_Toc151193849"/>
      <w:r/>
      <w:bookmarkStart w:id="384" w:name="_Toc265228373"/>
      <w:r/>
      <w:bookmarkStart w:id="385" w:name="_Toc151193705"/>
      <w:r/>
      <w:bookmarkStart w:id="386" w:name="_Toc226337231"/>
      <w:r>
        <w:rPr>
          <w:rFonts w:ascii="Times New Roman" w:hAnsi="Times New Roman" w:eastAsia="宋体" w:cs="Times New Roman"/>
          <w:sz w:val="24"/>
          <w:highlight w:val="none"/>
        </w:rPr>
        <w:t xml:space="preserve">响应文件的</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ascii="Times New Roman" w:hAnsi="Times New Roman" w:eastAsia="宋体" w:cs="Times New Roman"/>
          <w:sz w:val="24"/>
          <w:highlight w:val="none"/>
        </w:rPr>
        <w:t xml:space="preserve">提交</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本项目使用</w:t>
      </w:r>
      <w:r>
        <w:rPr>
          <w:rFonts w:hint="eastAsia" w:ascii="Times New Roman" w:hAnsi="Times New Roman" w:eastAsia="宋体" w:cs="Times New Roman"/>
          <w:color w:val="000000"/>
          <w:sz w:val="24"/>
          <w:highlight w:val="none"/>
          <w:lang w:bidi="ar"/>
        </w:rPr>
        <w:t xml:space="preserve">“苏采云”政府采购一体化平台</w:t>
      </w:r>
      <w:r>
        <w:rPr>
          <w:rFonts w:ascii="Times New Roman" w:hAnsi="Times New Roman" w:eastAsia="宋体" w:cs="Times New Roman"/>
          <w:sz w:val="24"/>
          <w:highlight w:val="none"/>
        </w:rPr>
        <w:t xml:space="preserve">。供应商根据竞争性磋商文件及</w:t>
      </w:r>
      <w:r>
        <w:rPr>
          <w:rFonts w:hint="eastAsia" w:ascii="Times New Roman" w:hAnsi="Times New Roman" w:eastAsia="宋体" w:cs="Times New Roman"/>
          <w:color w:val="000000"/>
          <w:sz w:val="24"/>
          <w:highlight w:val="none"/>
          <w:lang w:bidi="ar"/>
        </w:rPr>
        <w:t xml:space="preserve">“苏采云”政府采购一体化平台</w:t>
      </w:r>
      <w:r>
        <w:rPr>
          <w:rFonts w:ascii="Times New Roman" w:hAnsi="Times New Roman" w:eastAsia="宋体" w:cs="Times New Roman"/>
          <w:sz w:val="24"/>
          <w:highlight w:val="none"/>
        </w:rPr>
        <w:t xml:space="preserve">供应商操作手册要求编制、生成并提交电子响应文件。</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采购人及采购代理机构拒绝接受通过电子交易平台以外任何形式提交的响应文件，磋商保证金除外。</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387" w:name="_Toc305158804"/>
      <w:r/>
      <w:bookmarkStart w:id="388" w:name="_Toc164608650"/>
      <w:r/>
      <w:bookmarkStart w:id="389" w:name="_Toc150774741"/>
      <w:r/>
      <w:bookmarkStart w:id="390" w:name="_Toc195842901"/>
      <w:r/>
      <w:bookmarkStart w:id="391" w:name="_Toc520356161"/>
      <w:r/>
      <w:bookmarkStart w:id="392" w:name="_Toc226965726"/>
      <w:r/>
      <w:bookmarkStart w:id="393" w:name="_Toc226337232"/>
      <w:r/>
      <w:bookmarkStart w:id="394" w:name="_Toc149720829"/>
      <w:r/>
      <w:bookmarkStart w:id="395" w:name="_Toc151190163"/>
      <w:r/>
      <w:bookmarkStart w:id="396" w:name="_Toc150509287"/>
      <w:r/>
      <w:bookmarkStart w:id="397" w:name="_Toc127161450"/>
      <w:r/>
      <w:bookmarkStart w:id="398" w:name="_Toc226309780"/>
      <w:r/>
      <w:bookmarkStart w:id="399" w:name="_Toc151193778"/>
      <w:r/>
      <w:bookmarkStart w:id="400" w:name="_Toc151193634"/>
      <w:r/>
      <w:bookmarkStart w:id="401" w:name="_Toc164229377"/>
      <w:r/>
      <w:bookmarkStart w:id="402" w:name="_Toc265228374"/>
      <w:r/>
      <w:bookmarkStart w:id="403" w:name="_Toc127151737"/>
      <w:r/>
      <w:bookmarkStart w:id="404" w:name="_Toc151193850"/>
      <w:r/>
      <w:bookmarkStart w:id="405" w:name="_Toc151193706"/>
      <w:r/>
      <w:bookmarkStart w:id="406" w:name="_Toc164608805"/>
      <w:r/>
      <w:bookmarkStart w:id="407" w:name="_Toc150774636"/>
      <w:r/>
      <w:bookmarkStart w:id="408" w:name="_Toc264969226"/>
      <w:r/>
      <w:bookmarkStart w:id="409" w:name="_Toc127151536"/>
      <w:r/>
      <w:bookmarkStart w:id="410" w:name="_Toc305158878"/>
      <w:r/>
      <w:bookmarkStart w:id="411" w:name="_Toc164351630"/>
      <w:r/>
      <w:bookmarkStart w:id="412" w:name="_Toc164229231"/>
      <w:r/>
      <w:bookmarkStart w:id="413" w:name="_Toc151193924"/>
      <w:r/>
      <w:bookmarkStart w:id="414" w:name="_Toc150480774"/>
      <w:r/>
      <w:bookmarkStart w:id="415" w:name="_Toc226965809"/>
      <w:r/>
      <w:bookmarkStart w:id="416" w:name="_Toc142311038"/>
      <w:r>
        <w:rPr>
          <w:rFonts w:ascii="Times New Roman" w:hAnsi="Times New Roman" w:eastAsia="宋体" w:cs="Times New Roman"/>
          <w:sz w:val="24"/>
          <w:highlight w:val="none"/>
        </w:rPr>
        <w:t xml:space="preserve">响应文件截止</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ascii="Times New Roman" w:hAnsi="Times New Roman" w:eastAsia="宋体" w:cs="Times New Roman"/>
          <w:sz w:val="24"/>
          <w:highlight w:val="none"/>
        </w:rPr>
        <w:t xml:space="preserve">时间</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供应商应在竞争性磋商文件要求提交响应文件截止时间前，将电子响应文件提交至</w:t>
      </w:r>
      <w:r>
        <w:rPr>
          <w:rFonts w:hint="eastAsia" w:ascii="Times New Roman" w:hAnsi="Times New Roman" w:eastAsia="宋体" w:cs="Times New Roman"/>
          <w:color w:val="000000"/>
          <w:sz w:val="24"/>
          <w:highlight w:val="none"/>
          <w:lang w:bidi="ar"/>
        </w:rPr>
        <w:t xml:space="preserve">“苏采云”政府采购一体化平台</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417" w:name="_Toc127161451"/>
      <w:r/>
      <w:bookmarkStart w:id="418" w:name="_Toc164608806"/>
      <w:r/>
      <w:bookmarkStart w:id="419" w:name="_Toc226965810"/>
      <w:r/>
      <w:bookmarkStart w:id="420" w:name="_Toc151193851"/>
      <w:r/>
      <w:bookmarkStart w:id="421" w:name="_Toc150774637"/>
      <w:r/>
      <w:bookmarkStart w:id="422" w:name="_Toc149720830"/>
      <w:r/>
      <w:bookmarkStart w:id="423" w:name="_Toc127151537"/>
      <w:r/>
      <w:bookmarkStart w:id="424" w:name="_Toc151193779"/>
      <w:r/>
      <w:bookmarkStart w:id="425" w:name="_Toc226337233"/>
      <w:r/>
      <w:bookmarkStart w:id="426" w:name="_Toc520356162"/>
      <w:r/>
      <w:bookmarkStart w:id="427" w:name="_Toc164351631"/>
      <w:r/>
      <w:bookmarkStart w:id="428" w:name="_Toc151193707"/>
      <w:r/>
      <w:bookmarkStart w:id="429" w:name="_Toc226965727"/>
      <w:r/>
      <w:bookmarkStart w:id="430" w:name="_Toc164608651"/>
      <w:r/>
      <w:bookmarkStart w:id="431" w:name="_Toc150509288"/>
      <w:r/>
      <w:bookmarkStart w:id="432" w:name="_Toc142311039"/>
      <w:r/>
      <w:bookmarkStart w:id="433" w:name="_Toc264969227"/>
      <w:r/>
      <w:bookmarkStart w:id="434" w:name="_Toc226309781"/>
      <w:r/>
      <w:bookmarkStart w:id="435" w:name="_Toc265228375"/>
      <w:r/>
      <w:bookmarkStart w:id="436" w:name="_Toc305158879"/>
      <w:r/>
      <w:bookmarkStart w:id="437" w:name="_Toc150774742"/>
      <w:r/>
      <w:bookmarkStart w:id="438" w:name="_Toc150480775"/>
      <w:r/>
      <w:bookmarkStart w:id="439" w:name="_Toc151190164"/>
      <w:r/>
      <w:bookmarkStart w:id="440" w:name="_Toc164229378"/>
      <w:r/>
      <w:bookmarkStart w:id="441" w:name="_Toc151193635"/>
      <w:r/>
      <w:bookmarkStart w:id="442" w:name="_Toc151193925"/>
      <w:r/>
      <w:bookmarkStart w:id="443" w:name="_Toc164229232"/>
      <w:r/>
      <w:bookmarkStart w:id="444" w:name="_Toc305158805"/>
      <w:r/>
      <w:bookmarkStart w:id="445" w:name="_Toc127151738"/>
      <w:r/>
      <w:bookmarkStart w:id="446" w:name="_Toc195842902"/>
      <w:r>
        <w:rPr>
          <w:rFonts w:ascii="Times New Roman" w:hAnsi="Times New Roman" w:eastAsia="宋体" w:cs="Times New Roman"/>
          <w:sz w:val="24"/>
          <w:highlight w:val="none"/>
        </w:rPr>
        <w:t xml:space="preserve">响应文件的修改与撤回</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提交响应文件截止时间前，供应商可以通过电子交易平台对所提交的响应文件进行补充、修改或者撤回。</w:t>
      </w:r>
      <w:r>
        <w:rPr>
          <w:rFonts w:ascii="Times New Roman" w:hAnsi="Times New Roman" w:eastAsia="宋体" w:cs="Times New Roman"/>
          <w:color w:val="000000"/>
          <w:sz w:val="24"/>
          <w:highlight w:val="none"/>
        </w:rPr>
        <w:t xml:space="preserve">磋商保证金的补充、修改或者撤回</w:t>
      </w:r>
      <w:r>
        <w:rPr>
          <w:rFonts w:ascii="Times New Roman" w:hAnsi="Times New Roman" w:eastAsia="宋体" w:cs="Times New Roman"/>
          <w:sz w:val="24"/>
          <w:highlight w:val="none"/>
        </w:rPr>
        <w:t xml:space="preserve">无需通过电子交易平台，但应就其补充、修改或者撤回通知采购人或采购代理机构</w:t>
      </w:r>
      <w:r>
        <w:rPr>
          <w:rFonts w:ascii="Times New Roman" w:hAnsi="Times New Roman" w:eastAsia="宋体" w:cs="Times New Roman"/>
          <w:color w:val="000000"/>
          <w:sz w:val="24"/>
          <w:highlight w:val="none"/>
        </w:rPr>
        <w:t xml:space="preserve">。</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rFonts w:ascii="Times New Roman" w:hAnsi="Times New Roman" w:eastAsia="宋体" w:cs="Times New Roman"/>
          <w:sz w:val="24"/>
          <w:highlight w:val="none"/>
        </w:rPr>
      </w:r>
      <w:r/>
    </w:p>
    <w:p>
      <w:pPr>
        <w:pStyle w:val="1039"/>
        <w:ind w:left="357"/>
        <w:spacing w:line="360" w:lineRule="auto"/>
        <w:tabs>
          <w:tab w:val="left" w:pos="900" w:leader="none"/>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1039"/>
        <w:jc w:val="center"/>
        <w:keepLines/>
        <w:keepNext/>
        <w:spacing w:before="0" w:line="360" w:lineRule="auto"/>
        <w:widowControl w:val="off"/>
        <w:rPr>
          <w:rFonts w:ascii="Times New Roman" w:hAnsi="Times New Roman" w:eastAsia="宋体" w:cs="Times New Roman"/>
          <w:b/>
          <w:sz w:val="28"/>
          <w:szCs w:val="20"/>
          <w:highlight w:val="none"/>
          <w:lang w:val="en-US" w:eastAsia="zh-CN" w:bidi="ar-SA"/>
        </w:rPr>
        <w:outlineLvl w:val="1"/>
      </w:pPr>
      <w:r/>
      <w:bookmarkStart w:id="447" w:name="_Toc150480776"/>
      <w:r/>
      <w:bookmarkStart w:id="448" w:name="_Toc150774743"/>
      <w:r/>
      <w:bookmarkStart w:id="449" w:name="_Toc195842903"/>
      <w:r/>
      <w:bookmarkStart w:id="450" w:name="_Toc127151538"/>
      <w:r/>
      <w:bookmarkStart w:id="451" w:name="_Toc305158880"/>
      <w:r/>
      <w:bookmarkStart w:id="452" w:name="_Toc151193926"/>
      <w:r/>
      <w:bookmarkStart w:id="453" w:name="_Toc151193852"/>
      <w:r/>
      <w:bookmarkStart w:id="454" w:name="_Toc151193780"/>
      <w:r/>
      <w:bookmarkStart w:id="455" w:name="_Toc142311040"/>
      <w:r/>
      <w:bookmarkStart w:id="456" w:name="_Toc151193636"/>
      <w:r/>
      <w:bookmarkStart w:id="457" w:name="_Toc265228376"/>
      <w:r/>
      <w:bookmarkStart w:id="458" w:name="_Toc150774638"/>
      <w:r/>
      <w:bookmarkStart w:id="459" w:name="_Toc226337234"/>
      <w:r/>
      <w:bookmarkStart w:id="460" w:name="_Toc150509289"/>
      <w:r/>
      <w:bookmarkStart w:id="461" w:name="_Toc226309782"/>
      <w:r/>
      <w:bookmarkStart w:id="462" w:name="_Toc226965811"/>
      <w:r/>
      <w:bookmarkStart w:id="463" w:name="_Toc264969228"/>
      <w:r/>
      <w:bookmarkStart w:id="464" w:name="_Toc226965728"/>
      <w:r/>
      <w:bookmarkStart w:id="465" w:name="_Toc151193708"/>
      <w:r/>
      <w:bookmarkStart w:id="466" w:name="_Toc305158806"/>
      <w:r/>
      <w:bookmarkStart w:id="467" w:name="_Toc520356163"/>
      <w:r/>
      <w:bookmarkStart w:id="468" w:name="_Toc151190165"/>
      <w:r>
        <w:rPr>
          <w:rFonts w:ascii="Times New Roman" w:hAnsi="Times New Roman" w:eastAsia="宋体" w:cs="Times New Roman"/>
          <w:b/>
          <w:sz w:val="28"/>
          <w:szCs w:val="20"/>
          <w:highlight w:val="none"/>
          <w:lang w:val="en-US" w:eastAsia="zh-CN" w:bidi="ar-SA"/>
        </w:rPr>
        <w:t xml:space="preserve">五   </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ascii="Times New Roman" w:hAnsi="Times New Roman" w:eastAsia="宋体" w:cs="Times New Roman"/>
          <w:b/>
          <w:sz w:val="28"/>
          <w:szCs w:val="20"/>
          <w:highlight w:val="none"/>
          <w:lang w:val="en-US" w:eastAsia="zh-CN" w:bidi="ar-SA"/>
        </w:rPr>
        <w:t xml:space="preserve">评审</w:t>
      </w:r>
      <w:r>
        <w:rPr>
          <w:rFonts w:ascii="Times New Roman" w:hAnsi="Times New Roman" w:eastAsia="宋体" w:cs="Times New Roman"/>
          <w:b/>
          <w:sz w:val="28"/>
          <w:szCs w:val="20"/>
          <w:highlight w:val="none"/>
          <w:lang w:val="en-US" w:eastAsia="zh-CN" w:bidi="ar-SA"/>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响应文件的解密与开启</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采购人或采购代理机构将按竞争性磋商文件的规定，在响应文件提交截止时间的同一时间和竞争性磋商文件预先确定的地点开启响应文件。</w:t>
      </w:r>
      <w:r>
        <w:rPr>
          <w:rFonts w:ascii="Times New Roman" w:hAnsi="Times New Roman" w:eastAsia="宋体" w:cs="Times New Roman"/>
          <w:sz w:val="24"/>
          <w:highlight w:val="none"/>
        </w:rPr>
      </w:r>
      <w:r/>
    </w:p>
    <w:p>
      <w:pPr>
        <w:pStyle w:val="1039"/>
        <w:ind w:left="357"/>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本项目采用不见面交易模式，使用</w:t>
      </w:r>
      <w:r>
        <w:rPr>
          <w:rFonts w:hint="eastAsia" w:ascii="Times New Roman" w:hAnsi="Times New Roman" w:eastAsia="宋体" w:cs="Times New Roman"/>
          <w:color w:val="000000"/>
          <w:sz w:val="24"/>
          <w:highlight w:val="none"/>
          <w:lang w:bidi="ar"/>
        </w:rPr>
        <w:t xml:space="preserve">“苏采云”政府采购一体化平台</w:t>
      </w:r>
      <w:r>
        <w:rPr>
          <w:rFonts w:ascii="Times New Roman" w:hAnsi="Times New Roman" w:eastAsia="宋体" w:cs="Times New Roman"/>
          <w:sz w:val="24"/>
          <w:highlight w:val="none"/>
        </w:rPr>
        <w:t xml:space="preserve">在线进行解密。供应商应在规定的时间内对响应文件进行解密，因非系统原因导致的解密失败，视为</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供应商不足3家的，不予解密。</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bookmarkStart w:id="469" w:name="_Toc520356165"/>
      <w:r>
        <w:rPr>
          <w:rFonts w:ascii="Times New Roman" w:hAnsi="Times New Roman" w:eastAsia="宋体" w:cs="Times New Roman"/>
          <w:sz w:val="24"/>
          <w:highlight w:val="none"/>
        </w:rPr>
        <w:t xml:space="preserve">本项目不公开报价。</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如果在采购活动过程中出现以下情形，导致</w:t>
      </w:r>
      <w:r>
        <w:rPr>
          <w:rFonts w:hint="eastAsia" w:ascii="Times New Roman" w:hAnsi="Times New Roman" w:eastAsia="宋体" w:cs="Times New Roman"/>
          <w:color w:val="000000"/>
          <w:sz w:val="24"/>
          <w:highlight w:val="none"/>
          <w:lang w:bidi="ar"/>
        </w:rPr>
        <w:t xml:space="preserve">“苏采云”政府采购一体化平台</w:t>
      </w:r>
      <w:r>
        <w:rPr>
          <w:rFonts w:ascii="Times New Roman" w:hAnsi="Times New Roman" w:eastAsia="宋体" w:cs="Times New Roman"/>
          <w:sz w:val="24"/>
          <w:highlight w:val="none"/>
        </w:rPr>
        <w:t xml:space="preserve">系统无法正常运行，或者无法保证本项目采购活动的公平、公正和安全时，代理机构可以延缓或者暂停采购活动，情况严重的可以终止采购活动：</w:t>
      </w:r>
      <w:r>
        <w:rPr>
          <w:rFonts w:ascii="Times New Roman" w:hAnsi="Times New Roman" w:eastAsia="宋体" w:cs="Times New Roman"/>
          <w:sz w:val="24"/>
          <w:highlight w:val="none"/>
        </w:rPr>
        <w:br w:type="textWrapping" w:clear="all"/>
      </w:r>
      <w:r>
        <w:rPr>
          <w:rFonts w:ascii="Times New Roman" w:hAnsi="Times New Roman" w:eastAsia="宋体" w:cs="Times New Roman"/>
          <w:sz w:val="24"/>
          <w:highlight w:val="none"/>
        </w:rPr>
        <w:t xml:space="preserve"> 1)平台系统发生故障而无法登录访问的；</w:t>
      </w:r>
      <w:r>
        <w:rPr>
          <w:rFonts w:ascii="Times New Roman" w:hAnsi="Times New Roman" w:eastAsia="宋体" w:cs="Times New Roman"/>
          <w:sz w:val="24"/>
          <w:highlight w:val="none"/>
        </w:rPr>
      </w:r>
      <w:r/>
    </w:p>
    <w:p>
      <w:pPr>
        <w:pStyle w:val="1039"/>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2)平台系统应用或数据库出现错误，不能进行正常操作的；</w:t>
      </w:r>
      <w:r>
        <w:rPr>
          <w:rFonts w:ascii="Times New Roman" w:hAnsi="Times New Roman" w:eastAsia="宋体" w:cs="Times New Roman"/>
          <w:sz w:val="24"/>
          <w:highlight w:val="none"/>
        </w:rPr>
      </w:r>
      <w:r/>
    </w:p>
    <w:p>
      <w:pPr>
        <w:pStyle w:val="1039"/>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3)平台系统发现严重安全漏洞，有潜在泄密危险的；</w:t>
      </w:r>
      <w:r>
        <w:rPr>
          <w:rFonts w:ascii="Times New Roman" w:hAnsi="Times New Roman" w:eastAsia="宋体" w:cs="Times New Roman"/>
          <w:sz w:val="24"/>
          <w:highlight w:val="none"/>
        </w:rPr>
      </w:r>
      <w:r/>
    </w:p>
    <w:p>
      <w:pPr>
        <w:pStyle w:val="1039"/>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4)病毒发作导致平台系统不能进行正常操作的；</w:t>
      </w:r>
      <w:r>
        <w:rPr>
          <w:rFonts w:ascii="Times New Roman" w:hAnsi="Times New Roman" w:eastAsia="宋体" w:cs="Times New Roman"/>
          <w:sz w:val="24"/>
          <w:highlight w:val="none"/>
        </w:rPr>
      </w:r>
      <w:r/>
    </w:p>
    <w:p>
      <w:pPr>
        <w:pStyle w:val="1039"/>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5)其他无法保证本次采购活动的公平、公正和安全的情况。</w:t>
      </w:r>
      <w:r>
        <w:rPr>
          <w:rFonts w:ascii="Times New Roman" w:hAnsi="Times New Roman" w:eastAsia="宋体" w:cs="Times New Roman"/>
          <w:sz w:val="24"/>
          <w:highlight w:val="none"/>
        </w:rPr>
      </w:r>
      <w:r/>
    </w:p>
    <w:p>
      <w:pPr>
        <w:pStyle w:val="1039"/>
        <w:ind w:firstLine="480"/>
        <w:spacing w:line="360" w:lineRule="auto"/>
        <w:tabs>
          <w:tab w:val="left" w:pos="993"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End w:id="469"/>
      <w:r>
        <w:rPr>
          <w:rFonts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磋商小组根据政府采购有关规定和本次采购项目的特点进行组建，并负责具体评审事务，独立履行职责。</w:t>
      </w:r>
      <w:bookmarkStart w:id="470" w:name="_Toc520356166"/>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70"/>
      <w:r/>
      <w:bookmarkStart w:id="471" w:name="_Toc520356169"/>
      <w:r>
        <w:rPr>
          <w:rFonts w:ascii="Times New Roman" w:hAnsi="Times New Roman" w:eastAsia="宋体" w:cs="Times New Roman"/>
          <w:sz w:val="24"/>
          <w:highlight w:val="none"/>
        </w:rPr>
      </w:r>
      <w:r/>
    </w:p>
    <w:p>
      <w:pPr>
        <w:pStyle w:val="1039"/>
        <w:numPr>
          <w:ilvl w:val="0"/>
          <w:numId w:val="8"/>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评审方法和评审标准</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见第三章《评审方法和评审标准》。</w:t>
      </w:r>
      <w:r>
        <w:rPr>
          <w:rFonts w:ascii="Times New Roman" w:hAnsi="Times New Roman" w:eastAsia="宋体" w:cs="Times New Roman"/>
          <w:sz w:val="24"/>
          <w:highlight w:val="none"/>
        </w:rPr>
      </w:r>
      <w:r/>
    </w:p>
    <w:p>
      <w:pPr>
        <w:pStyle w:val="1039"/>
        <w:ind w:left="1080"/>
        <w:spacing w:line="360" w:lineRule="auto"/>
        <w:tabs>
          <w:tab w:val="left" w:pos="360" w:leader="none"/>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1039"/>
        <w:jc w:val="center"/>
        <w:keepLines/>
        <w:keepNext/>
        <w:spacing w:before="0" w:line="360" w:lineRule="auto"/>
        <w:widowControl w:val="off"/>
        <w:rPr>
          <w:rFonts w:ascii="Times New Roman" w:hAnsi="Times New Roman" w:eastAsia="宋体" w:cs="Times New Roman"/>
          <w:b/>
          <w:sz w:val="28"/>
          <w:szCs w:val="20"/>
          <w:highlight w:val="none"/>
          <w:lang w:val="en-US" w:eastAsia="zh-CN" w:bidi="ar-SA"/>
        </w:rPr>
        <w:outlineLvl w:val="1"/>
      </w:pPr>
      <w:r/>
      <w:bookmarkStart w:id="472" w:name="_Toc151190172"/>
      <w:r/>
      <w:bookmarkStart w:id="473" w:name="_Toc305158813"/>
      <w:r/>
      <w:bookmarkStart w:id="474" w:name="_Toc150774750"/>
      <w:r/>
      <w:bookmarkStart w:id="475" w:name="_Toc150774645"/>
      <w:r/>
      <w:bookmarkStart w:id="476" w:name="_Toc150509296"/>
      <w:r/>
      <w:bookmarkStart w:id="477" w:name="_Toc305158887"/>
      <w:r/>
      <w:bookmarkStart w:id="478" w:name="_Toc151193715"/>
      <w:r/>
      <w:bookmarkStart w:id="479" w:name="_Toc226309789"/>
      <w:r/>
      <w:bookmarkStart w:id="480" w:name="_Toc151193643"/>
      <w:r/>
      <w:bookmarkStart w:id="481" w:name="_Toc226965735"/>
      <w:r/>
      <w:bookmarkStart w:id="482" w:name="_Toc226337241"/>
      <w:r/>
      <w:bookmarkStart w:id="483" w:name="_Toc264969235"/>
      <w:r/>
      <w:bookmarkStart w:id="484" w:name="_Toc151193859"/>
      <w:r/>
      <w:bookmarkStart w:id="485" w:name="_Toc151193933"/>
      <w:r/>
      <w:bookmarkStart w:id="486" w:name="_Toc127151545"/>
      <w:r/>
      <w:bookmarkStart w:id="487" w:name="_Toc150480783"/>
      <w:r/>
      <w:bookmarkStart w:id="488" w:name="_Toc195842910"/>
      <w:r/>
      <w:bookmarkStart w:id="489" w:name="_Toc142311047"/>
      <w:r/>
      <w:bookmarkStart w:id="490" w:name="_Toc265228383"/>
      <w:r/>
      <w:bookmarkStart w:id="491" w:name="_Toc151193787"/>
      <w:r/>
      <w:bookmarkStart w:id="492" w:name="_Toc226965818"/>
      <w:r>
        <w:rPr>
          <w:rFonts w:ascii="Times New Roman" w:hAnsi="Times New Roman" w:eastAsia="宋体" w:cs="Times New Roman"/>
          <w:b/>
          <w:sz w:val="28"/>
          <w:szCs w:val="20"/>
          <w:highlight w:val="none"/>
          <w:lang w:val="en-US" w:eastAsia="zh-CN" w:bidi="ar-SA"/>
        </w:rPr>
        <w:t xml:space="preserve">六   </w:t>
      </w:r>
      <w:bookmarkEnd w:id="471"/>
      <w:r>
        <w:rPr>
          <w:rFonts w:ascii="Times New Roman" w:hAnsi="Times New Roman" w:eastAsia="宋体" w:cs="Times New Roman"/>
          <w:b/>
          <w:sz w:val="28"/>
          <w:szCs w:val="20"/>
          <w:highlight w:val="none"/>
          <w:lang w:val="en-US" w:eastAsia="zh-CN" w:bidi="ar-SA"/>
        </w:rPr>
        <w:t xml:space="preserve">确定</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rFonts w:ascii="Times New Roman" w:hAnsi="Times New Roman" w:eastAsia="宋体" w:cs="Times New Roman"/>
          <w:b/>
          <w:sz w:val="28"/>
          <w:szCs w:val="20"/>
          <w:highlight w:val="none"/>
          <w:lang w:val="en-US" w:eastAsia="zh-CN" w:bidi="ar-SA"/>
        </w:rPr>
        <w:t xml:space="preserve">成交</w:t>
      </w:r>
      <w:r>
        <w:rPr>
          <w:rFonts w:ascii="Times New Roman" w:hAnsi="Times New Roman" w:eastAsia="宋体" w:cs="Times New Roman"/>
          <w:b/>
          <w:sz w:val="28"/>
          <w:szCs w:val="20"/>
          <w:highlight w:val="none"/>
          <w:lang w:val="en-US" w:eastAsia="zh-CN" w:bidi="ar-SA"/>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493" w:name="_Toc127161461"/>
      <w:r/>
      <w:bookmarkStart w:id="494" w:name="_Toc226965820"/>
      <w:r/>
      <w:bookmarkStart w:id="495" w:name="_Toc142311049"/>
      <w:r/>
      <w:bookmarkStart w:id="496" w:name="_Toc226337243"/>
      <w:r/>
      <w:bookmarkStart w:id="497" w:name="_Toc151193789"/>
      <w:r/>
      <w:bookmarkStart w:id="498" w:name="_Toc127151748"/>
      <w:r/>
      <w:bookmarkStart w:id="499" w:name="_Toc127151547"/>
      <w:r/>
      <w:bookmarkStart w:id="500" w:name="_Toc226309791"/>
      <w:r/>
      <w:bookmarkStart w:id="501" w:name="_Toc150774752"/>
      <w:r/>
      <w:bookmarkStart w:id="502" w:name="_Toc195842912"/>
      <w:r/>
      <w:bookmarkStart w:id="503" w:name="_Toc151193717"/>
      <w:r/>
      <w:bookmarkStart w:id="504" w:name="_Toc305158889"/>
      <w:r/>
      <w:bookmarkStart w:id="505" w:name="_Toc164351641"/>
      <w:r/>
      <w:bookmarkStart w:id="506" w:name="_Toc151193861"/>
      <w:r/>
      <w:bookmarkStart w:id="507" w:name="_Toc265228385"/>
      <w:r/>
      <w:bookmarkStart w:id="508" w:name="_Toc150774647"/>
      <w:r/>
      <w:bookmarkStart w:id="509" w:name="_Toc264969237"/>
      <w:r/>
      <w:bookmarkStart w:id="510" w:name="_Toc149720840"/>
      <w:r/>
      <w:bookmarkStart w:id="511" w:name="_Toc151193645"/>
      <w:r/>
      <w:bookmarkStart w:id="512" w:name="_Toc164608661"/>
      <w:r/>
      <w:bookmarkStart w:id="513" w:name="_Toc305158815"/>
      <w:r/>
      <w:bookmarkStart w:id="514" w:name="_Toc151193935"/>
      <w:r/>
      <w:bookmarkStart w:id="515" w:name="_Toc164229388"/>
      <w:r/>
      <w:bookmarkStart w:id="516" w:name="_Toc226965737"/>
      <w:r/>
      <w:bookmarkStart w:id="517" w:name="_Toc164608816"/>
      <w:r/>
      <w:bookmarkStart w:id="518" w:name="_Toc150480785"/>
      <w:r/>
      <w:bookmarkStart w:id="519" w:name="_Toc164229242"/>
      <w:r/>
      <w:bookmarkStart w:id="520" w:name="_Toc150509298"/>
      <w:r/>
      <w:bookmarkStart w:id="521" w:name="_Toc151190174"/>
      <w:r>
        <w:rPr>
          <w:rFonts w:ascii="Times New Roman" w:hAnsi="Times New Roman" w:eastAsia="宋体" w:cs="Times New Roman"/>
          <w:sz w:val="24"/>
          <w:highlight w:val="none"/>
        </w:rPr>
        <w:t xml:space="preserve">确定成交供应商</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采购人将在收到评审报告后，从评审报告提出的成交候选供应商中，按照排序由高到低的原则确定成交供应商。成交候选人并列的，由采购人依法确定。</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Start w:id="522" w:name="_Toc305158891"/>
      <w:r/>
      <w:bookmarkStart w:id="523" w:name="_Toc150480787"/>
      <w:r/>
      <w:bookmarkStart w:id="524" w:name="_Toc226309793"/>
      <w:r/>
      <w:bookmarkStart w:id="525" w:name="_Toc164229244"/>
      <w:r/>
      <w:bookmarkStart w:id="526" w:name="_Toc151190176"/>
      <w:r/>
      <w:bookmarkStart w:id="527" w:name="_Toc164351643"/>
      <w:r/>
      <w:bookmarkStart w:id="528" w:name="_Toc164608663"/>
      <w:r/>
      <w:bookmarkStart w:id="529" w:name="_Toc265228387"/>
      <w:r/>
      <w:bookmarkStart w:id="530" w:name="_Toc127151549"/>
      <w:r/>
      <w:bookmarkStart w:id="531" w:name="_Toc150774754"/>
      <w:r/>
      <w:bookmarkStart w:id="532" w:name="_Toc226337245"/>
      <w:r/>
      <w:bookmarkStart w:id="533" w:name="_Toc164608818"/>
      <w:r/>
      <w:bookmarkStart w:id="534" w:name="_Toc151193863"/>
      <w:r/>
      <w:bookmarkStart w:id="535" w:name="_Toc150509300"/>
      <w:r/>
      <w:bookmarkStart w:id="536" w:name="_Toc151193937"/>
      <w:r/>
      <w:bookmarkStart w:id="537" w:name="_Toc164229390"/>
      <w:r/>
      <w:bookmarkStart w:id="538" w:name="_Toc264969239"/>
      <w:r/>
      <w:bookmarkStart w:id="539" w:name="_Toc127151750"/>
      <w:r/>
      <w:bookmarkStart w:id="540" w:name="_Toc151193791"/>
      <w:r/>
      <w:bookmarkStart w:id="541" w:name="_Toc149720842"/>
      <w:r/>
      <w:bookmarkStart w:id="542" w:name="_Toc226965822"/>
      <w:r/>
      <w:bookmarkStart w:id="543" w:name="_Toc305158817"/>
      <w:r/>
      <w:bookmarkStart w:id="544" w:name="_Toc226965739"/>
      <w:r/>
      <w:bookmarkStart w:id="545" w:name="_Ref467306425"/>
      <w:r/>
      <w:bookmarkStart w:id="546" w:name="_Toc520356176"/>
      <w:r/>
      <w:bookmarkStart w:id="547" w:name="_Ref467307090"/>
      <w:r/>
      <w:bookmarkStart w:id="548" w:name="_Toc142311051"/>
      <w:r/>
      <w:bookmarkStart w:id="549" w:name="_Toc151193719"/>
      <w:r/>
      <w:bookmarkStart w:id="550" w:name="_Toc127161463"/>
      <w:r/>
      <w:bookmarkStart w:id="551" w:name="_Toc150774649"/>
      <w:r/>
      <w:bookmarkStart w:id="552" w:name="_Toc151193647"/>
      <w:r/>
      <w:bookmarkStart w:id="553" w:name="_Toc195842914"/>
      <w:r>
        <w:rPr>
          <w:rFonts w:ascii="Times New Roman" w:hAnsi="Times New Roman" w:eastAsia="宋体" w:cs="Times New Roman"/>
          <w:sz w:val="24"/>
          <w:highlight w:val="none"/>
        </w:rPr>
        <w:t xml:space="preserve">成交公告与成交通知书</w:t>
      </w:r>
      <w:bookmarkEnd w:id="522"/>
      <w:r/>
      <w:bookmarkEnd w:id="543"/>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采购人或采购代理机构将在成交供应商确定后2个工作日内，在常州市政府采购网公告成交结果，同时向成交供应商发出成交通知书，成交公告期限为1个工作日。</w:t>
      </w:r>
      <w:r>
        <w:rPr>
          <w:rFonts w:ascii="Times New Roman" w:hAnsi="Times New Roman" w:eastAsia="宋体" w:cs="Times New Roman"/>
          <w:sz w:val="24"/>
          <w:highlight w:val="none"/>
        </w:rPr>
      </w:r>
      <w:r/>
    </w:p>
    <w:p>
      <w:pPr>
        <w:pStyle w:val="1039"/>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终止</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在采购中，出现下列情形之一的，采购人或采购代理机构将终止竞争性磋商采购活动，发布项目终止公告并说明原因，重新开展采购活动：</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因情况变化，不再符合规定的竞争性磋商采购方式适用情形的；</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出现影响采购公正的违法、违规行为的；</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pacing w:val="2"/>
          <w:sz w:val="24"/>
          <w:highlight w:val="none"/>
        </w:rPr>
        <w:t xml:space="preserve">平台系统</w:t>
      </w:r>
      <w:r>
        <w:rPr>
          <w:rFonts w:ascii="Times New Roman" w:hAnsi="Times New Roman" w:eastAsia="宋体" w:cs="Times New Roman"/>
          <w:sz w:val="24"/>
          <w:highlight w:val="none"/>
        </w:rPr>
        <w:t xml:space="preserve">出现序号17.7的所述情形，情况严重且影响采购活动公平、公正性的。</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4"/>
      <w:r/>
      <w:bookmarkEnd w:id="548"/>
      <w:r/>
      <w:bookmarkEnd w:id="549"/>
      <w:r/>
      <w:bookmarkEnd w:id="550"/>
      <w:r/>
      <w:bookmarkEnd w:id="551"/>
      <w:r/>
      <w:bookmarkEnd w:id="552"/>
      <w:r/>
      <w:bookmarkEnd w:id="553"/>
      <w:r/>
      <w:bookmarkStart w:id="554" w:name="_Toc149720843"/>
      <w:r/>
      <w:bookmarkStart w:id="555" w:name="_Toc151193938"/>
      <w:r/>
      <w:bookmarkStart w:id="556" w:name="_Toc151193864"/>
      <w:r/>
      <w:bookmarkStart w:id="557" w:name="_Toc520356175"/>
      <w:r/>
      <w:bookmarkStart w:id="558" w:name="_Toc164608819"/>
      <w:r/>
      <w:bookmarkStart w:id="559" w:name="_Ref467306377"/>
      <w:r/>
      <w:bookmarkStart w:id="560" w:name="_Toc226965823"/>
      <w:r/>
      <w:bookmarkStart w:id="561" w:name="_Toc142311052"/>
      <w:r/>
      <w:bookmarkStart w:id="562" w:name="_Toc164608664"/>
      <w:r/>
      <w:bookmarkStart w:id="563" w:name="_Toc151193792"/>
      <w:r/>
      <w:bookmarkStart w:id="564" w:name="_Toc151193720"/>
      <w:r/>
      <w:bookmarkStart w:id="565" w:name="_Toc150774755"/>
      <w:r/>
      <w:bookmarkStart w:id="566" w:name="_Toc305158818"/>
      <w:r/>
      <w:bookmarkStart w:id="567" w:name="_Toc265228388"/>
      <w:r/>
      <w:bookmarkStart w:id="568" w:name="_Toc127151550"/>
      <w:r/>
      <w:bookmarkStart w:id="569" w:name="_Toc150480788"/>
      <w:r/>
      <w:bookmarkStart w:id="570" w:name="_Toc164229391"/>
      <w:r/>
      <w:bookmarkStart w:id="571" w:name="_Toc226965740"/>
      <w:r/>
      <w:bookmarkStart w:id="572" w:name="_Toc195842915"/>
      <w:r/>
      <w:bookmarkStart w:id="573" w:name="_Toc164229245"/>
      <w:r/>
      <w:bookmarkStart w:id="574" w:name="_Toc127161464"/>
      <w:r/>
      <w:bookmarkStart w:id="575" w:name="_Toc151190177"/>
      <w:r/>
      <w:bookmarkStart w:id="576" w:name="_Toc127151751"/>
      <w:r/>
      <w:bookmarkStart w:id="577" w:name="_Toc164351644"/>
      <w:r/>
      <w:bookmarkStart w:id="578" w:name="_Toc150774650"/>
      <w:r/>
      <w:bookmarkStart w:id="579" w:name="_Ref467306978"/>
      <w:r/>
      <w:bookmarkStart w:id="580" w:name="_Toc151193648"/>
      <w:r/>
      <w:bookmarkStart w:id="581" w:name="_Toc150509301"/>
      <w:r/>
      <w:bookmarkStart w:id="582" w:name="_Toc226309794"/>
      <w:r/>
      <w:bookmarkStart w:id="583" w:name="_Toc226337246"/>
      <w:r/>
      <w:bookmarkStart w:id="584" w:name="_Toc305158892"/>
      <w:r/>
      <w:bookmarkStart w:id="585" w:name="_Ref467307062"/>
      <w:r/>
      <w:bookmarkStart w:id="586" w:name="_Toc264969240"/>
      <w:r/>
      <w:bookmarkStart w:id="587" w:name="_Ref467307204"/>
      <w:r>
        <w:rPr>
          <w:rFonts w:ascii="Times New Roman" w:hAnsi="Times New Roman" w:eastAsia="宋体" w:cs="Times New Roman"/>
          <w:sz w:val="24"/>
          <w:highlight w:val="none"/>
        </w:rPr>
        <w:t xml:space="preserve">签订合同</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联合体获得成交资格的，联合体各方应当共同与采购人签订合同，就成交项目向采购人承担连带责任。</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政府采购合同不能转包。</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sz w:val="24"/>
          <w:highlight w:val="none"/>
        </w:rPr>
        <w:t xml:space="preserve">否则响应无效</w:t>
      </w:r>
      <w:r>
        <w:rPr>
          <w:rFonts w:ascii="Times New Roman" w:hAnsi="Times New Roman" w:eastAsia="宋体" w:cs="Times New Roman"/>
          <w:sz w:val="24"/>
          <w:highlight w:val="none"/>
        </w:rPr>
        <w:t xml:space="preserve">。成交供应商就采购项目和分包项目向采购人负责，分包供应商就分包项目承担责任。</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bookmarkEnd w:id="545"/>
      <w:r/>
      <w:bookmarkEnd w:id="546"/>
      <w:r/>
      <w:bookmarkEnd w:id="547"/>
      <w:r>
        <w:rPr>
          <w:rFonts w:ascii="Times New Roman" w:hAnsi="Times New Roman" w:eastAsia="宋体" w:cs="Times New Roman"/>
          <w:sz w:val="24"/>
          <w:highlight w:val="none"/>
        </w:rPr>
        <w:t xml:space="preserve">询问与质疑</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询问</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供应商对政府采购活动事项有疑问的，可依法提出询问，并按《供应商须知资料表》载明的形式送达采购人或采购代理机构。</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采购人或采购代理机构对供应商依法提出的询问，在3个工作日内作出答复，但答复的内容不得涉及商业秘密。</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质疑</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质疑函须使用财政部制定的范本文件。（下载网址：</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"http://gks.mof.gov.cn/ztztz/zhengfucaigouguanli/201802/t20180201_2804589.htm" </w:instrText>
      </w:r>
      <w:r>
        <w:rPr>
          <w:rFonts w:ascii="Times New Roman" w:hAnsi="Times New Roman" w:eastAsia="宋体" w:cs="Times New Roman"/>
          <w:highlight w:val="none"/>
        </w:rPr>
        <w:fldChar w:fldCharType="separate"/>
      </w:r>
      <w:r>
        <w:rPr>
          <w:rFonts w:ascii="Times New Roman" w:hAnsi="Times New Roman" w:eastAsia="宋体" w:cs="Times New Roman"/>
          <w:color w:val="0000ff"/>
          <w:highlight w:val="none"/>
          <w:u w:val="single"/>
        </w:rPr>
        <w:t xml:space="preserve">http://gk</w:t>
      </w:r>
      <w:bookmarkStart w:id="588" w:name="_Hlt100654014"/>
      <w:r>
        <w:rPr>
          <w:rFonts w:ascii="Times New Roman" w:hAnsi="Times New Roman" w:eastAsia="宋体" w:cs="Times New Roman"/>
          <w:color w:val="0000ff"/>
          <w:highlight w:val="none"/>
          <w:u w:val="single"/>
        </w:rPr>
        <w:t xml:space="preserve">s</w:t>
      </w:r>
      <w:bookmarkEnd w:id="588"/>
      <w:r>
        <w:rPr>
          <w:rFonts w:ascii="Times New Roman" w:hAnsi="Times New Roman" w:eastAsia="宋体" w:cs="Times New Roman"/>
          <w:color w:val="0000ff"/>
          <w:highlight w:val="none"/>
          <w:u w:val="single"/>
        </w:rPr>
        <w:t xml:space="preserve">.m</w:t>
      </w:r>
      <w:bookmarkStart w:id="589" w:name="_Hlt100653993"/>
      <w:r/>
      <w:bookmarkStart w:id="590" w:name="_Hlt100653994"/>
      <w:r>
        <w:rPr>
          <w:rFonts w:ascii="Times New Roman" w:hAnsi="Times New Roman" w:eastAsia="宋体" w:cs="Times New Roman"/>
          <w:color w:val="0000ff"/>
          <w:highlight w:val="none"/>
          <w:u w:val="single"/>
        </w:rPr>
        <w:t xml:space="preserve">o</w:t>
      </w:r>
      <w:bookmarkEnd w:id="589"/>
      <w:r/>
      <w:bookmarkEnd w:id="590"/>
      <w:r/>
      <w:bookmarkStart w:id="591" w:name="_Hlt101169156"/>
      <w:r>
        <w:rPr>
          <w:rFonts w:ascii="Times New Roman" w:hAnsi="Times New Roman" w:eastAsia="宋体" w:cs="Times New Roman"/>
          <w:color w:val="0000ff"/>
          <w:highlight w:val="none"/>
          <w:u w:val="single"/>
        </w:rPr>
        <w:t xml:space="preserve">f</w:t>
      </w:r>
      <w:bookmarkEnd w:id="591"/>
      <w:r>
        <w:rPr>
          <w:rFonts w:ascii="Times New Roman" w:hAnsi="Times New Roman" w:eastAsia="宋体" w:cs="Times New Roman"/>
          <w:color w:val="0000ff"/>
          <w:highlight w:val="none"/>
          <w:u w:val="single"/>
        </w:rPr>
        <w:t xml:space="preserve">.gov.cn/ztztz/zhengfucaigouguanli/201802/t20180201_2804589.htm</w:t>
      </w:r>
      <w:r>
        <w:rPr>
          <w:rFonts w:ascii="Times New Roman" w:hAnsi="Times New Roman" w:eastAsia="宋体" w:cs="Times New Roman"/>
          <w:color w:val="0000ff"/>
          <w:highlight w:val="none"/>
          <w:u w:val="single"/>
        </w:rPr>
        <w:fldChar w:fldCharType="end"/>
      </w:r>
      <w:r>
        <w:rPr>
          <w:rFonts w:ascii="Times New Roman" w:hAnsi="Times New Roman" w:eastAsia="宋体" w:cs="Times New Roman"/>
          <w:highlight w:val="none"/>
        </w:rPr>
        <w:t xml:space="preserve">）</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供应商为自然人的，应当由本人签字；供应商为法人或者其他组织的，应当由法定代表人、主要负责人，或者其授权代表签字或者盖章，并加盖公章。</w:t>
      </w:r>
      <w:r>
        <w:rPr>
          <w:rFonts w:ascii="Times New Roman" w:hAnsi="Times New Roman" w:eastAsia="宋体" w:cs="Times New Roman"/>
          <w:sz w:val="24"/>
          <w:highlight w:val="none"/>
        </w:rPr>
      </w:r>
      <w:r/>
    </w:p>
    <w:p>
      <w:pPr>
        <w:pStyle w:val="1039"/>
        <w:numPr>
          <w:ilvl w:val="2"/>
          <w:numId w:val="8"/>
        </w:numPr>
        <w:ind w:left="1980" w:hanging="90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接收询问和质疑的联系部门、联系电话和通讯地址见《供应商须知资料表》。</w:t>
      </w:r>
      <w:r>
        <w:rPr>
          <w:rFonts w:ascii="Times New Roman" w:hAnsi="Times New Roman" w:eastAsia="宋体" w:cs="Times New Roman"/>
          <w:sz w:val="24"/>
          <w:highlight w:val="none"/>
        </w:rPr>
      </w:r>
      <w:r/>
    </w:p>
    <w:p>
      <w:pPr>
        <w:pStyle w:val="1039"/>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代理费</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收费对象、收费标准及缴纳时间见《供应商须知资料表》。由成交供应商支付的，成交供应商须一次性向采购代理机构缴纳代理费，报价应包含代理费用。</w:t>
      </w:r>
      <w:r>
        <w:rPr>
          <w:rFonts w:ascii="Times New Roman" w:hAnsi="Times New Roman" w:eastAsia="宋体" w:cs="Times New Roman"/>
          <w:sz w:val="24"/>
          <w:highlight w:val="none"/>
        </w:rPr>
      </w:r>
      <w:r/>
    </w:p>
    <w:p>
      <w:pPr>
        <w:pStyle w:val="1039"/>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9"/>
          <w:footnotePr/>
          <w:endnotePr/>
          <w:type w:val="nextPage"/>
          <w:pgSz w:w="11907" w:h="16840" w:orient="portrait"/>
          <w:pgMar w:top="1440" w:right="1304" w:bottom="1440" w:left="1304" w:header="851" w:footer="851" w:gutter="0"/>
          <w:pgNumType w:start="1"/>
          <w:cols w:num="1" w:sep="0" w:space="1701" w:equalWidth="1"/>
          <w:docGrid w:linePitch="360"/>
        </w:sectPr>
      </w:pPr>
      <w:r>
        <w:rPr>
          <w:sz w:val="24"/>
          <w:highlight w:val="none"/>
        </w:rPr>
      </w:r>
      <w:r/>
    </w:p>
    <w:p>
      <w:pPr>
        <w:pStyle w:val="1039"/>
        <w:jc w:val="center"/>
        <w:spacing w:line="360" w:lineRule="auto"/>
        <w:rPr>
          <w:sz w:val="24"/>
          <w:highlight w:val="none"/>
        </w:rPr>
        <w:outlineLvl w:val="0"/>
      </w:pPr>
      <w:r>
        <w:rPr>
          <w:sz w:val="24"/>
          <w:highlight w:val="none"/>
        </w:rPr>
      </w:r>
      <w:r/>
    </w:p>
    <w:p>
      <w:pPr>
        <w:pStyle w:val="1039"/>
        <w:jc w:val="center"/>
        <w:spacing w:line="360" w:lineRule="auto"/>
        <w:rPr>
          <w:sz w:val="24"/>
          <w:highlight w:val="none"/>
        </w:rPr>
        <w:outlineLvl w:val="0"/>
      </w:pPr>
      <w:r>
        <w:rPr>
          <w:sz w:val="24"/>
          <w:highlight w:val="none"/>
        </w:rPr>
      </w:r>
      <w:r/>
    </w:p>
    <w:p>
      <w:pPr>
        <w:pStyle w:val="1039"/>
        <w:jc w:val="center"/>
        <w:spacing w:line="360" w:lineRule="auto"/>
        <w:rPr>
          <w:b/>
          <w:sz w:val="36"/>
          <w:szCs w:val="36"/>
          <w:highlight w:val="none"/>
        </w:rPr>
        <w:outlineLvl w:val="0"/>
      </w:pPr>
      <w:r>
        <w:rPr>
          <w:b/>
          <w:sz w:val="36"/>
          <w:szCs w:val="36"/>
          <w:highlight w:val="none"/>
        </w:rPr>
        <w:t xml:space="preserve">第三章   </w:t>
      </w:r>
      <w:bookmarkEnd w:id="73"/>
      <w:r/>
      <w:bookmarkEnd w:id="74"/>
      <w:r/>
      <w:bookmarkEnd w:id="75"/>
      <w:r/>
      <w:bookmarkEnd w:id="76"/>
      <w:r/>
      <w:bookmarkEnd w:id="77"/>
      <w:r/>
      <w:bookmarkEnd w:id="78"/>
      <w:r/>
      <w:bookmarkEnd w:id="79"/>
      <w:r/>
      <w:bookmarkEnd w:id="81"/>
      <w:r/>
      <w:bookmarkEnd w:id="82"/>
      <w:r/>
      <w:bookmarkEnd w:id="83"/>
      <w:r/>
      <w:bookmarkEnd w:id="84"/>
      <w:r/>
      <w:bookmarkEnd w:id="85"/>
      <w:r/>
      <w:bookmarkEnd w:id="86"/>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80"/>
      <w:r/>
      <w:bookmarkStart w:id="592" w:name="_Toc487900382"/>
      <w:r>
        <w:rPr>
          <w:b/>
          <w:sz w:val="36"/>
          <w:szCs w:val="36"/>
          <w:highlight w:val="none"/>
        </w:rPr>
      </w:r>
      <w:r/>
    </w:p>
    <w:p>
      <w:pPr>
        <w:pStyle w:val="1039"/>
        <w:numPr>
          <w:ilvl w:val="0"/>
          <w:numId w:val="10"/>
        </w:numPr>
        <w:spacing w:line="360" w:lineRule="auto"/>
        <w:tabs>
          <w:tab w:val="left" w:pos="360" w:leader="none"/>
          <w:tab w:val="left" w:pos="900" w:leader="none"/>
        </w:tabs>
        <w:rPr>
          <w:sz w:val="24"/>
          <w:highlight w:val="none"/>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bookmarkStart w:id="593" w:name="_Toc150774746"/>
      <w:r/>
      <w:bookmarkStart w:id="594" w:name="_Toc151193783"/>
      <w:r/>
      <w:bookmarkStart w:id="595" w:name="_Toc164608810"/>
      <w:r/>
      <w:bookmarkStart w:id="596" w:name="_Toc226965731"/>
      <w:r/>
      <w:bookmarkStart w:id="597" w:name="_Toc151193929"/>
      <w:r/>
      <w:bookmarkStart w:id="598" w:name="_Toc164351635"/>
      <w:r/>
      <w:bookmarkStart w:id="599" w:name="_Toc264969231"/>
      <w:r/>
      <w:bookmarkStart w:id="600" w:name="_Toc265228379"/>
      <w:r/>
      <w:bookmarkStart w:id="601" w:name="_Toc150774641"/>
      <w:r/>
      <w:bookmarkStart w:id="602" w:name="_Toc151193639"/>
      <w:r/>
      <w:bookmarkStart w:id="603" w:name="_Toc164608655"/>
      <w:r/>
      <w:bookmarkStart w:id="604" w:name="_Toc226965814"/>
      <w:r/>
      <w:bookmarkStart w:id="605" w:name="_Toc127151742"/>
      <w:r/>
      <w:bookmarkStart w:id="606" w:name="_Toc151193855"/>
      <w:r/>
      <w:bookmarkStart w:id="607" w:name="_Toc226309785"/>
      <w:r/>
      <w:bookmarkStart w:id="608" w:name="_Toc305158883"/>
      <w:r/>
      <w:bookmarkStart w:id="609" w:name="_Toc149720834"/>
      <w:r/>
      <w:bookmarkStart w:id="610" w:name="_Toc127161455"/>
      <w:r/>
      <w:bookmarkStart w:id="611" w:name="_Toc195842906"/>
      <w:r/>
      <w:bookmarkStart w:id="612" w:name="_Toc151193711"/>
      <w:r/>
      <w:bookmarkStart w:id="613" w:name="_Toc226337237"/>
      <w:r/>
      <w:bookmarkStart w:id="614" w:name="_Toc164229236"/>
      <w:r/>
      <w:bookmarkStart w:id="615" w:name="_Toc142311043"/>
      <w:r/>
      <w:bookmarkStart w:id="616" w:name="_Toc127151541"/>
      <w:r/>
      <w:bookmarkStart w:id="617" w:name="_Toc150509292"/>
      <w:r/>
      <w:bookmarkStart w:id="618" w:name="_Toc305158809"/>
      <w:r/>
      <w:bookmarkStart w:id="619" w:name="_Toc150480779"/>
      <w:r/>
      <w:bookmarkStart w:id="620" w:name="_Toc151190168"/>
      <w:r/>
      <w:bookmarkStart w:id="621" w:name="_Toc164229382"/>
      <w:r/>
      <w:bookmarkStart w:id="622" w:name="_Toc353873941"/>
      <w:r/>
      <w:bookmarkStart w:id="623" w:name="_Toc353825551"/>
      <w:r/>
      <w:bookmarkStart w:id="624" w:name="_Toc353873665"/>
      <w:r/>
      <w:bookmarkStart w:id="625" w:name="_Toc195842920"/>
      <w:r/>
      <w:bookmarkStart w:id="626" w:name="_Toc305158823"/>
      <w:r/>
      <w:bookmarkStart w:id="627" w:name="_Toc127151555"/>
      <w:r/>
      <w:bookmarkStart w:id="628" w:name="_Toc353873935"/>
      <w:r/>
      <w:bookmarkStart w:id="629" w:name="_Toc142311057"/>
      <w:r/>
      <w:bookmarkStart w:id="630" w:name="_Toc226965828"/>
      <w:r/>
      <w:bookmarkStart w:id="631" w:name="_Toc305158897"/>
      <w:r/>
      <w:bookmarkStart w:id="632" w:name="_Toc353825545"/>
      <w:r/>
      <w:bookmarkStart w:id="633" w:name="_Toc150480793"/>
      <w:r/>
      <w:bookmarkStart w:id="634" w:name="_Toc150774760"/>
      <w:r/>
      <w:bookmarkStart w:id="635" w:name="_Toc226337251"/>
      <w:r/>
      <w:bookmarkStart w:id="636" w:name="_Toc264969245"/>
      <w:r/>
      <w:bookmarkStart w:id="637" w:name="_Toc265228393"/>
      <w:r>
        <w:rPr>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highlight w:val="none"/>
        </w:rPr>
        <w:t xml:space="preserve">资格性检查和符合性审查</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1039"/>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12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31"/>
        <w:gridCol w:w="4102"/>
        <w:gridCol w:w="2769"/>
      </w:tblGrid>
      <w:tr>
        <w:trPr>
          <w:cantSplit/>
          <w:trHeight w:val="20"/>
          <w:tblHeader/>
        </w:trPr>
        <w:tc>
          <w:tcPr>
            <w:tcW w:w="713" w:type="dxa"/>
            <w:vAlign w:val="center"/>
            <w:textDirection w:val="lrTb"/>
            <w:noWrap w:val="false"/>
          </w:tcPr>
          <w:p>
            <w:pPr>
              <w:pStyle w:val="1039"/>
              <w:jc w:val="center"/>
              <w:tabs>
                <w:tab w:val="left" w:pos="1080" w:leader="none"/>
              </w:tabs>
              <w:rPr>
                <w:b/>
                <w:sz w:val="24"/>
                <w:highlight w:val="none"/>
              </w:rPr>
            </w:pPr>
            <w:r/>
            <w:bookmarkStart w:id="638" w:name="_Hlt487972895"/>
            <w:r/>
            <w:bookmarkEnd w:id="638"/>
            <w:r>
              <w:rPr>
                <w:b/>
                <w:sz w:val="24"/>
                <w:highlight w:val="none"/>
              </w:rPr>
              <w:t xml:space="preserve">序号</w:t>
            </w:r>
            <w:r>
              <w:rPr>
                <w:b/>
                <w:sz w:val="24"/>
                <w:highlight w:val="none"/>
              </w:rPr>
            </w:r>
            <w:r/>
          </w:p>
        </w:tc>
        <w:tc>
          <w:tcPr>
            <w:tcW w:w="1931" w:type="dxa"/>
            <w:vAlign w:val="center"/>
            <w:textDirection w:val="lrTb"/>
            <w:noWrap w:val="false"/>
          </w:tcPr>
          <w:p>
            <w:pPr>
              <w:pStyle w:val="1039"/>
              <w:jc w:val="center"/>
              <w:tabs>
                <w:tab w:val="left" w:pos="1080" w:leader="none"/>
              </w:tabs>
              <w:rPr>
                <w:b/>
                <w:sz w:val="24"/>
                <w:highlight w:val="none"/>
              </w:rPr>
            </w:pPr>
            <w:r>
              <w:rPr>
                <w:b/>
                <w:sz w:val="24"/>
                <w:highlight w:val="none"/>
              </w:rPr>
              <w:t xml:space="preserve">审查因素</w:t>
            </w:r>
            <w:r>
              <w:rPr>
                <w:b/>
                <w:sz w:val="24"/>
                <w:highlight w:val="none"/>
              </w:rPr>
            </w:r>
            <w:r/>
          </w:p>
        </w:tc>
        <w:tc>
          <w:tcPr>
            <w:tcW w:w="4102" w:type="dxa"/>
            <w:vAlign w:val="center"/>
            <w:textDirection w:val="lrTb"/>
            <w:noWrap w:val="false"/>
          </w:tcPr>
          <w:p>
            <w:pPr>
              <w:pStyle w:val="1039"/>
              <w:jc w:val="center"/>
              <w:tabs>
                <w:tab w:val="left" w:pos="1080" w:leader="none"/>
              </w:tabs>
              <w:rPr>
                <w:b/>
                <w:sz w:val="24"/>
                <w:highlight w:val="none"/>
              </w:rPr>
            </w:pPr>
            <w:r>
              <w:rPr>
                <w:b/>
                <w:sz w:val="24"/>
                <w:highlight w:val="none"/>
              </w:rPr>
              <w:t xml:space="preserve">审查内容</w:t>
            </w:r>
            <w:r>
              <w:rPr>
                <w:b/>
                <w:sz w:val="24"/>
                <w:highlight w:val="none"/>
              </w:rPr>
            </w:r>
            <w:r/>
          </w:p>
        </w:tc>
        <w:tc>
          <w:tcPr>
            <w:tcW w:w="2769" w:type="dxa"/>
            <w:vAlign w:val="center"/>
            <w:textDirection w:val="lrTb"/>
            <w:noWrap w:val="false"/>
          </w:tcPr>
          <w:p>
            <w:pPr>
              <w:pStyle w:val="1039"/>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rFonts w:hint="eastAsia" w:eastAsia="宋体"/>
                <w:sz w:val="24"/>
                <w:highlight w:val="none"/>
                <w:lang w:val="en-US" w:eastAsia="zh-CN"/>
              </w:rPr>
            </w:pPr>
            <w:r>
              <w:rPr>
                <w:rFonts w:hint="eastAsia"/>
                <w:sz w:val="24"/>
                <w:highlight w:val="none"/>
                <w:lang w:val="en-US" w:eastAsia="zh-CN"/>
              </w:rPr>
              <w:t xml:space="preserve">1</w:t>
            </w:r>
            <w:r>
              <w:rPr>
                <w:rFonts w:hint="eastAsia" w:eastAsia="宋体"/>
                <w:sz w:val="24"/>
                <w:highlight w:val="none"/>
                <w:lang w:val="en-US" w:eastAsia="zh-CN"/>
              </w:rPr>
            </w:r>
            <w:r/>
          </w:p>
        </w:tc>
        <w:tc>
          <w:tcPr>
            <w:gridSpan w:val="3"/>
            <w:tcW w:w="8802" w:type="dxa"/>
            <w:vAlign w:val="center"/>
            <w:textDirection w:val="lrTb"/>
            <w:noWrap w:val="false"/>
          </w:tcPr>
          <w:p>
            <w:pPr>
              <w:pStyle w:val="1039"/>
              <w:tabs>
                <w:tab w:val="left" w:pos="1080" w:leader="none"/>
              </w:tabs>
              <w:rPr>
                <w:rFonts w:hint="eastAsia"/>
                <w:sz w:val="24"/>
                <w:highlight w:val="none"/>
              </w:rPr>
            </w:pPr>
            <w:r>
              <w:rPr>
                <w:sz w:val="24"/>
                <w:highlight w:val="none"/>
              </w:rPr>
              <w:t xml:space="preserve">满足《中华人民共和国政府采购法》第二十二条规定及法律法规的其他规定</w:t>
            </w:r>
            <w:r>
              <w:rPr>
                <w:rFonts w:hint="eastAsia"/>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rFonts w:eastAsia="宋体"/>
                <w:sz w:val="24"/>
                <w:highlight w:val="none"/>
                <w:lang w:val="en-US" w:eastAsia="zh-CN"/>
              </w:rPr>
            </w:pPr>
            <w:r>
              <w:rPr>
                <w:sz w:val="24"/>
                <w:highlight w:val="none"/>
              </w:rPr>
              <w:t xml:space="preserve">1</w:t>
            </w:r>
            <w:r>
              <w:rPr>
                <w:rFonts w:hint="eastAsia"/>
                <w:sz w:val="24"/>
                <w:highlight w:val="none"/>
                <w:lang w:val="en-US" w:eastAsia="zh-CN"/>
              </w:rPr>
              <w:t xml:space="preserve">-1</w:t>
            </w:r>
            <w:r>
              <w:rPr>
                <w:rFonts w:eastAsia="宋体"/>
                <w:sz w:val="24"/>
                <w:highlight w:val="none"/>
                <w:lang w:val="en-US" w:eastAsia="zh-CN"/>
              </w:rPr>
            </w:r>
            <w:r/>
          </w:p>
        </w:tc>
        <w:tc>
          <w:tcPr>
            <w:tcW w:w="1931" w:type="dxa"/>
            <w:vAlign w:val="center"/>
            <w:textDirection w:val="lrTb"/>
            <w:noWrap w:val="false"/>
          </w:tcPr>
          <w:p>
            <w:pPr>
              <w:pStyle w:val="1039"/>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4102" w:type="dxa"/>
            <w:vAlign w:val="center"/>
            <w:textDirection w:val="lrTb"/>
            <w:noWrap w:val="false"/>
          </w:tcPr>
          <w:p>
            <w:pPr>
              <w:pStyle w:val="1039"/>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9"/>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具有良好的商业信誉和健全的财务会计制度；须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上一年度</w:t>
            </w:r>
            <w:r>
              <w:rPr>
                <w:rFonts w:hint="eastAsia" w:ascii="宋体" w:hAnsi="宋体" w:eastAsia="宋体" w:cs="宋体"/>
                <w:color w:val="000000"/>
                <w:sz w:val="24"/>
                <w:highlight w:val="none"/>
              </w:rPr>
              <w:t xml:space="preserve">的财务</w:t>
            </w:r>
            <w:r>
              <w:rPr>
                <w:rFonts w:hint="eastAsia" w:ascii="宋体" w:hAnsi="宋体" w:eastAsia="宋体" w:cs="宋体"/>
                <w:color w:val="000000"/>
                <w:sz w:val="24"/>
                <w:highlight w:val="none"/>
                <w:lang w:val="en-US" w:eastAsia="zh-CN"/>
              </w:rPr>
              <w:t xml:space="preserve">状况报告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内容至少须包含</w:t>
            </w:r>
            <w:r>
              <w:rPr>
                <w:rFonts w:hint="eastAsia" w:ascii="宋体" w:hAnsi="宋体" w:eastAsia="宋体" w:cs="宋体"/>
                <w:color w:val="000000"/>
                <w:sz w:val="24"/>
                <w:highlight w:val="none"/>
                <w:lang w:eastAsia="zh-CN"/>
              </w:rPr>
              <w:t xml:space="preserve">资产负债表和利润表；</w:t>
            </w:r>
            <w:r>
              <w:rPr>
                <w:rFonts w:hint="eastAsia" w:ascii="宋体" w:hAnsi="宋体" w:eastAsia="宋体" w:cs="宋体"/>
                <w:color w:val="000000"/>
                <w:sz w:val="24"/>
                <w:highlight w:val="none"/>
              </w:rPr>
              <w:t xml:space="preserve">成立时间至提交投标文件截止时间不足一年的</w:t>
            </w:r>
            <w:r>
              <w:rPr>
                <w:rFonts w:hint="eastAsia" w:ascii="宋体" w:hAnsi="宋体" w:eastAsia="宋体" w:cs="宋体"/>
                <w:color w:val="000000"/>
                <w:sz w:val="24"/>
                <w:highlight w:val="none"/>
                <w:lang w:val="en-US" w:eastAsia="zh-CN"/>
              </w:rPr>
              <w:t xml:space="preserve">无需提供。</w:t>
            </w:r>
            <w:r>
              <w:rPr>
                <w:rFonts w:hint="eastAsia" w:ascii="宋体" w:hAnsi="宋体" w:eastAsia="宋体" w:cs="宋体"/>
                <w:color w:val="000000"/>
                <w:sz w:val="24"/>
                <w:highlight w:val="none"/>
              </w:rPr>
            </w:r>
            <w:r/>
          </w:p>
          <w:p>
            <w:pPr>
              <w:pStyle w:val="1039"/>
              <w:spacing w:line="360" w:lineRule="auto"/>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具有履行合同所必需的设备和专业技术能力；</w:t>
            </w:r>
            <w:r>
              <w:rPr>
                <w:rFonts w:hint="eastAsia" w:ascii="宋体" w:hAnsi="宋体" w:cs="宋体"/>
                <w:color w:val="000000"/>
                <w:sz w:val="24"/>
                <w:highlight w:val="none"/>
                <w:lang w:val="en-US" w:eastAsia="zh-CN"/>
              </w:rPr>
              <w:t xml:space="preserve">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039"/>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（4）有依法缴纳税收和社会保障资金的良好记录；须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近期</w:t>
            </w:r>
            <w:r>
              <w:rPr>
                <w:rFonts w:hint="eastAsia" w:ascii="宋体" w:hAnsi="宋体" w:eastAsia="宋体" w:cs="宋体"/>
                <w:color w:val="000000"/>
                <w:sz w:val="24"/>
                <w:highlight w:val="none"/>
              </w:rPr>
              <w:t xml:space="preserve">依法缴纳税收</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社会保障资金的</w:t>
            </w:r>
            <w:r>
              <w:rPr>
                <w:rFonts w:hint="eastAsia" w:ascii="宋体" w:hAnsi="宋体" w:eastAsia="宋体" w:cs="宋体"/>
                <w:color w:val="000000"/>
                <w:sz w:val="24"/>
                <w:highlight w:val="none"/>
                <w:lang w:val="en-US" w:eastAsia="zh-CN"/>
              </w:rPr>
              <w:t xml:space="preserve">相关</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相关材料应是：</w:t>
            </w:r>
            <w:r>
              <w:rPr>
                <w:rFonts w:hint="eastAsia" w:ascii="宋体" w:hAnsi="宋体" w:eastAsia="宋体" w:cs="宋体"/>
                <w:color w:val="000000"/>
                <w:sz w:val="24"/>
                <w:highlight w:val="none"/>
              </w:rPr>
              <w:t xml:space="preserve">相关主管部门</w:t>
            </w:r>
            <w:r>
              <w:rPr>
                <w:rFonts w:hint="eastAsia" w:ascii="宋体" w:hAnsi="宋体" w:eastAsia="宋体" w:cs="宋体"/>
                <w:color w:val="000000"/>
                <w:sz w:val="24"/>
                <w:highlight w:val="none"/>
                <w:lang w:val="en-US" w:eastAsia="zh-CN"/>
              </w:rPr>
              <w:t xml:space="preserve">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或银行代扣证明</w:t>
            </w:r>
            <w:r>
              <w:rPr>
                <w:rFonts w:hint="eastAsia" w:ascii="宋体" w:hAnsi="宋体" w:eastAsia="宋体" w:cs="宋体"/>
                <w:color w:val="000000"/>
                <w:sz w:val="24"/>
                <w:highlight w:val="none"/>
                <w:lang w:val="en-US" w:eastAsia="zh-CN"/>
              </w:rPr>
              <w:t xml:space="preserve">或缴纳流水明细</w:t>
            </w:r>
            <w:r>
              <w:rPr>
                <w:rFonts w:hint="eastAsia" w:ascii="宋体" w:hAnsi="宋体" w:eastAsia="宋体" w:cs="宋体"/>
                <w:color w:val="000000"/>
                <w:sz w:val="24"/>
                <w:highlight w:val="none"/>
              </w:rPr>
              <w:t xml:space="preserve">。投标人依法享受缓缴、免缴税收、社会保障资金的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相关主管部门出具的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9"/>
              <w:tabs>
                <w:tab w:val="left" w:pos="1080" w:leader="none"/>
              </w:tabs>
              <w:rPr>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)参加政府采购活动前三年内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在经营活动中没有重大违</w:t>
            </w:r>
            <w:r>
              <w:rPr>
                <w:rFonts w:hint="eastAsia" w:ascii="宋体" w:hAnsi="宋体" w:eastAsia="宋体" w:cs="宋体"/>
                <w:color w:val="000000"/>
                <w:sz w:val="24"/>
                <w:highlight w:val="none"/>
                <w:lang w:val="en-US" w:eastAsia="zh-CN"/>
              </w:rPr>
              <w:t xml:space="preserve">法记录；须提供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rPr>
                <w:sz w:val="24"/>
                <w:highlight w:val="none"/>
              </w:rPr>
            </w:r>
            <w:r/>
          </w:p>
        </w:tc>
        <w:tc>
          <w:tcPr>
            <w:tcW w:w="2769" w:type="dxa"/>
            <w:vAlign w:val="center"/>
            <w:textDirection w:val="lrTb"/>
            <w:noWrap w:val="false"/>
          </w:tcPr>
          <w:p>
            <w:pPr>
              <w:pStyle w:val="1039"/>
              <w:tabs>
                <w:tab w:val="left" w:pos="1080" w:leader="none"/>
              </w:tabs>
              <w:rPr>
                <w:rFonts w:hint="eastAsia" w:eastAsia="宋体"/>
                <w:sz w:val="24"/>
                <w:highlight w:val="none"/>
                <w:lang w:eastAsia="zh-CN"/>
              </w:rPr>
            </w:pPr>
            <w:r>
              <w:rPr>
                <w:rFonts w:hint="eastAsia"/>
                <w:sz w:val="24"/>
                <w:highlight w:val="none"/>
              </w:rPr>
              <w:t xml:space="preserve">需提供证明文件的电子件或电子证照</w:t>
            </w:r>
            <w:r>
              <w:rPr>
                <w:rFonts w:hint="eastAsia"/>
                <w:sz w:val="24"/>
                <w:highlight w:val="none"/>
                <w:lang w:eastAsia="zh-CN"/>
              </w:rPr>
              <w:t xml:space="preserve">；</w:t>
            </w:r>
            <w:r>
              <w:rPr>
                <w:rFonts w:hint="eastAsia" w:eastAsia="宋体"/>
                <w:sz w:val="24"/>
                <w:highlight w:val="none"/>
                <w:lang w:eastAsia="zh-CN"/>
              </w:rPr>
            </w:r>
            <w:r/>
          </w:p>
        </w:tc>
      </w:tr>
      <w:tr>
        <w:trPr>
          <w:cantSplit/>
          <w:trHeight w:val="20"/>
        </w:trPr>
        <w:tc>
          <w:tcPr>
            <w:tcW w:w="713" w:type="dxa"/>
            <w:vAlign w:val="center"/>
            <w:textDirection w:val="lrTb"/>
            <w:noWrap w:val="false"/>
          </w:tcPr>
          <w:p>
            <w:pPr>
              <w:pStyle w:val="1039"/>
              <w:jc w:val="center"/>
              <w:tabs>
                <w:tab w:val="left" w:pos="1080" w:leader="none"/>
              </w:tabs>
              <w:rPr>
                <w:sz w:val="24"/>
                <w:highlight w:val="none"/>
              </w:rPr>
            </w:pPr>
            <w:r>
              <w:rPr>
                <w:sz w:val="24"/>
                <w:highlight w:val="none"/>
              </w:rPr>
              <w:t xml:space="preserve">1-2</w:t>
            </w:r>
            <w:r>
              <w:rPr>
                <w:sz w:val="24"/>
                <w:highlight w:val="none"/>
              </w:rPr>
            </w:r>
            <w:r/>
          </w:p>
        </w:tc>
        <w:tc>
          <w:tcPr>
            <w:tcW w:w="1931" w:type="dxa"/>
            <w:vAlign w:val="center"/>
            <w:textDirection w:val="lrTb"/>
            <w:noWrap w:val="false"/>
          </w:tcPr>
          <w:p>
            <w:pPr>
              <w:pStyle w:val="1039"/>
              <w:tabs>
                <w:tab w:val="left" w:pos="1080" w:leader="none"/>
              </w:tabs>
              <w:rPr>
                <w:sz w:val="24"/>
                <w:highlight w:val="none"/>
              </w:rPr>
            </w:pPr>
            <w:r>
              <w:rPr>
                <w:sz w:val="24"/>
                <w:highlight w:val="none"/>
              </w:rPr>
              <w:t xml:space="preserve">供应商信用记录</w:t>
            </w:r>
            <w:r>
              <w:rPr>
                <w:sz w:val="24"/>
                <w:highlight w:val="none"/>
              </w:rPr>
            </w:r>
            <w:r/>
          </w:p>
        </w:tc>
        <w:tc>
          <w:tcPr>
            <w:tcW w:w="4102" w:type="dxa"/>
            <w:vAlign w:val="center"/>
            <w:textDirection w:val="lrTb"/>
            <w:noWrap w:val="false"/>
          </w:tcPr>
          <w:p>
            <w:pPr>
              <w:pStyle w:val="1039"/>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1039"/>
              <w:tabs>
                <w:tab w:val="left" w:pos="900" w:leader="none"/>
                <w:tab w:val="left" w:pos="1980" w:leader="none"/>
              </w:tabs>
              <w:rPr>
                <w:sz w:val="24"/>
                <w:highlight w:val="none"/>
              </w:rPr>
            </w:pPr>
            <w:r>
              <w:rPr>
                <w:sz w:val="24"/>
                <w:highlight w:val="none"/>
              </w:rPr>
              <w:t xml:space="preserve">截止时点：提交响应文件截止时间以后、资格审查阶段采购人的实际查询时间；</w:t>
            </w:r>
            <w:r>
              <w:rPr>
                <w:sz w:val="24"/>
                <w:highlight w:val="none"/>
              </w:rPr>
            </w:r>
            <w:r/>
          </w:p>
          <w:p>
            <w:pPr>
              <w:pStyle w:val="1039"/>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信用信息查询记录和证据留存具体方式：查询结果网页打印页作为查询记录和证据，与其他磋商文件一并保存；</w:t>
            </w:r>
            <w:r>
              <w:rPr>
                <w:sz w:val="24"/>
                <w:highlight w:val="none"/>
              </w:rPr>
            </w:r>
            <w:r/>
          </w:p>
          <w:p>
            <w:pPr>
              <w:pStyle w:val="1039"/>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2769" w:type="dxa"/>
            <w:vAlign w:val="center"/>
            <w:textDirection w:val="lrTb"/>
            <w:noWrap w:val="false"/>
          </w:tcPr>
          <w:p>
            <w:pPr>
              <w:pStyle w:val="1039"/>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rFonts w:eastAsia="宋体"/>
                <w:sz w:val="24"/>
                <w:highlight w:val="none"/>
                <w:lang w:val="en-US" w:eastAsia="zh-CN"/>
              </w:rPr>
            </w:pPr>
            <w:r>
              <w:rPr>
                <w:rFonts w:hint="eastAsia"/>
                <w:sz w:val="24"/>
                <w:highlight w:val="none"/>
                <w:lang w:val="en-US" w:eastAsia="zh-CN"/>
              </w:rPr>
              <w:t xml:space="preserve">1-3</w:t>
            </w:r>
            <w:r>
              <w:rPr>
                <w:rFonts w:eastAsia="宋体"/>
                <w:sz w:val="24"/>
                <w:highlight w:val="none"/>
                <w:lang w:val="en-US" w:eastAsia="zh-CN"/>
              </w:rPr>
            </w:r>
            <w:r/>
          </w:p>
        </w:tc>
        <w:tc>
          <w:tcPr>
            <w:tcW w:w="1931" w:type="dxa"/>
            <w:vAlign w:val="center"/>
            <w:textDirection w:val="lrTb"/>
            <w:noWrap w:val="false"/>
          </w:tcPr>
          <w:p>
            <w:pPr>
              <w:pStyle w:val="1039"/>
              <w:spacing w:line="360" w:lineRule="auto"/>
              <w:tabs>
                <w:tab w:val="left" w:pos="1080" w:leader="none"/>
              </w:tabs>
              <w:rPr>
                <w:sz w:val="24"/>
                <w:highlight w:val="none"/>
              </w:rPr>
            </w:pPr>
            <w:r>
              <w:rPr>
                <w:rFonts w:hint="eastAsia"/>
                <w:sz w:val="24"/>
                <w:highlight w:val="none"/>
              </w:rPr>
              <w:t xml:space="preserve">单位负责人为同一人或者存在直接控股、管理关系的不同供应商不得参加同一合同项下的政府采购活动</w:t>
            </w:r>
            <w:r>
              <w:rPr>
                <w:sz w:val="24"/>
                <w:highlight w:val="none"/>
              </w:rPr>
            </w:r>
            <w:r/>
          </w:p>
        </w:tc>
        <w:tc>
          <w:tcPr>
            <w:tcW w:w="4102" w:type="dxa"/>
            <w:vAlign w:val="center"/>
            <w:textDirection w:val="lrTb"/>
            <w:noWrap w:val="false"/>
          </w:tcPr>
          <w:p>
            <w:pPr>
              <w:pStyle w:val="1039"/>
              <w:spacing w:line="360" w:lineRule="auto"/>
              <w:rPr>
                <w:sz w:val="24"/>
                <w:highlight w:val="none"/>
              </w:rPr>
            </w:pPr>
            <w:r>
              <w:rPr>
                <w:rFonts w:hint="eastAsia" w:ascii="宋体" w:hAnsi="宋体" w:cs="宋体"/>
                <w:color w:val="000000"/>
                <w:sz w:val="24"/>
                <w:highlight w:val="none"/>
                <w:lang w:val="en-US" w:eastAsia="zh-CN"/>
              </w:rPr>
              <w:t xml:space="preserve">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val="en-US" w:eastAsia="zh-CN"/>
              </w:rPr>
              <w:t xml:space="preserve">。</w:t>
            </w:r>
            <w:r>
              <w:rPr>
                <w:sz w:val="24"/>
                <w:highlight w:val="none"/>
              </w:rPr>
            </w:r>
            <w:r/>
          </w:p>
        </w:tc>
        <w:tc>
          <w:tcPr>
            <w:tcW w:w="2769" w:type="dxa"/>
            <w:vAlign w:val="center"/>
            <w:textDirection w:val="lrTb"/>
            <w:noWrap w:val="false"/>
          </w:tcPr>
          <w:p>
            <w:pPr>
              <w:pStyle w:val="1039"/>
              <w:tabs>
                <w:tab w:val="left" w:pos="1080" w:leader="none"/>
              </w:tabs>
              <w:rPr>
                <w:sz w:val="24"/>
                <w:highlight w:val="none"/>
              </w:rPr>
            </w:pPr>
            <w:r>
              <w:rPr>
                <w:rFonts w:hint="eastAsia" w:ascii="宋体" w:hAnsi="宋体" w:eastAsia="宋体" w:cs="宋体"/>
                <w:color w:val="000000"/>
                <w:sz w:val="24"/>
                <w:highlight w:val="none"/>
              </w:rPr>
              <w:t xml:space="preserve">格式见《投标文件格式》</w:t>
            </w:r>
            <w:r>
              <w:rPr>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sz w:val="24"/>
                <w:highlight w:val="none"/>
              </w:rPr>
            </w:pPr>
            <w:r>
              <w:rPr>
                <w:sz w:val="24"/>
                <w:highlight w:val="none"/>
              </w:rPr>
              <w:t xml:space="preserve">2</w:t>
            </w:r>
            <w:r>
              <w:rPr>
                <w:sz w:val="24"/>
                <w:highlight w:val="none"/>
              </w:rPr>
            </w:r>
            <w:r/>
          </w:p>
        </w:tc>
        <w:tc>
          <w:tcPr>
            <w:tcW w:w="1931" w:type="dxa"/>
            <w:vAlign w:val="center"/>
            <w:textDirection w:val="lrTb"/>
            <w:noWrap w:val="false"/>
          </w:tcPr>
          <w:p>
            <w:pPr>
              <w:pStyle w:val="1039"/>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4102" w:type="dxa"/>
            <w:vAlign w:val="center"/>
            <w:textDirection w:val="lrTb"/>
            <w:noWrap w:val="false"/>
          </w:tcPr>
          <w:p>
            <w:pPr>
              <w:pStyle w:val="1039"/>
              <w:tabs>
                <w:tab w:val="left" w:pos="1080" w:leader="none"/>
              </w:tabs>
              <w:rPr>
                <w:sz w:val="24"/>
                <w:highlight w:val="none"/>
              </w:rPr>
            </w:pPr>
            <w:r>
              <w:rPr>
                <w:sz w:val="24"/>
                <w:highlight w:val="none"/>
              </w:rPr>
              <w:t xml:space="preserve">具体要求见第一章《磋商邀请》</w:t>
            </w:r>
            <w:r>
              <w:rPr>
                <w:sz w:val="24"/>
                <w:highlight w:val="none"/>
              </w:rPr>
            </w:r>
            <w:r/>
          </w:p>
        </w:tc>
        <w:tc>
          <w:tcPr>
            <w:tcW w:w="2769" w:type="dxa"/>
            <w:vAlign w:val="center"/>
            <w:textDirection w:val="lrTb"/>
            <w:noWrap w:val="false"/>
          </w:tcPr>
          <w:p>
            <w:pPr>
              <w:pStyle w:val="1039"/>
              <w:tabs>
                <w:tab w:val="left" w:pos="1080" w:leader="none"/>
              </w:tabs>
              <w:rPr>
                <w:sz w:val="24"/>
                <w:highlight w:val="none"/>
              </w:rPr>
            </w:pPr>
            <w:r>
              <w:rPr>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sz w:val="24"/>
                <w:szCs w:val="24"/>
                <w:highlight w:val="none"/>
                <w:lang w:val="en-US" w:eastAsia="zh-CN" w:bidi="ar-SA"/>
              </w:rPr>
            </w:pPr>
            <w:r>
              <w:rPr>
                <w:sz w:val="24"/>
                <w:highlight w:val="none"/>
              </w:rPr>
              <w:t xml:space="preserve">2-1</w:t>
            </w:r>
            <w:r>
              <w:rPr>
                <w:sz w:val="24"/>
                <w:szCs w:val="24"/>
                <w:highlight w:val="none"/>
                <w:lang w:val="en-US" w:eastAsia="zh-CN" w:bidi="ar-SA"/>
              </w:rPr>
            </w:r>
            <w:r/>
          </w:p>
        </w:tc>
        <w:tc>
          <w:tcPr>
            <w:tcW w:w="1931" w:type="dxa"/>
            <w:vAlign w:val="center"/>
            <w:textDirection w:val="lrTb"/>
            <w:noWrap w:val="false"/>
          </w:tcPr>
          <w:p>
            <w:pPr>
              <w:pStyle w:val="1039"/>
              <w:tabs>
                <w:tab w:val="left" w:pos="1080" w:leader="none"/>
              </w:tabs>
              <w:rPr>
                <w:sz w:val="24"/>
                <w:szCs w:val="24"/>
                <w:highlight w:val="none"/>
                <w:lang w:val="en-US" w:eastAsia="zh-CN" w:bidi="ar-SA"/>
              </w:rPr>
            </w:pPr>
            <w:r>
              <w:rPr>
                <w:sz w:val="24"/>
                <w:highlight w:val="none"/>
              </w:rPr>
              <w:t xml:space="preserve">中小企业声明函</w:t>
            </w:r>
            <w:r>
              <w:rPr>
                <w:sz w:val="24"/>
                <w:szCs w:val="24"/>
                <w:highlight w:val="none"/>
                <w:lang w:val="en-US" w:eastAsia="zh-CN" w:bidi="ar-SA"/>
              </w:rPr>
            </w:r>
            <w:r/>
          </w:p>
        </w:tc>
        <w:tc>
          <w:tcPr>
            <w:tcW w:w="4102" w:type="dxa"/>
            <w:vAlign w:val="center"/>
            <w:textDirection w:val="lrTb"/>
            <w:noWrap w:val="false"/>
          </w:tcPr>
          <w:p>
            <w:pPr>
              <w:pStyle w:val="1039"/>
              <w:tabs>
                <w:tab w:val="left" w:pos="1080" w:leader="none"/>
              </w:tabs>
              <w:rPr>
                <w:bCs/>
                <w:sz w:val="24"/>
                <w:highlight w:val="none"/>
              </w:rPr>
            </w:pPr>
            <w:r>
              <w:rPr>
                <w:bCs/>
                <w:sz w:val="24"/>
                <w:highlight w:val="none"/>
              </w:rPr>
              <w:t xml:space="preserve">供应商如为</w:t>
            </w:r>
            <w:r>
              <w:rPr>
                <w:rFonts w:hint="eastAsia"/>
                <w:bCs/>
                <w:sz w:val="24"/>
                <w:highlight w:val="none"/>
              </w:rPr>
              <w:t xml:space="preserve">小微</w:t>
            </w:r>
            <w:r>
              <w:rPr>
                <w:bCs/>
                <w:sz w:val="24"/>
                <w:highlight w:val="none"/>
              </w:rPr>
              <w:t xml:space="preserve">企业参与磋商的，应提供中小企业声明函；如为监狱企业或残疾人福利性单位，不必提供中小企业声明函，但须按注1或注2要求提供证明材料。</w:t>
            </w:r>
            <w:r>
              <w:rPr>
                <w:bCs/>
                <w:sz w:val="24"/>
                <w:highlight w:val="none"/>
              </w:rPr>
            </w:r>
            <w:r/>
          </w:p>
          <w:p>
            <w:pPr>
              <w:pStyle w:val="1039"/>
              <w:tabs>
                <w:tab w:val="left" w:pos="1080" w:leader="none"/>
              </w:tabs>
              <w:rPr>
                <w:bCs/>
                <w:sz w:val="24"/>
                <w:highlight w:val="none"/>
              </w:rPr>
            </w:pPr>
            <w:r>
              <w:rPr>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1039"/>
              <w:tabs>
                <w:tab w:val="left" w:pos="1080" w:leader="none"/>
              </w:tabs>
              <w:rPr>
                <w:sz w:val="24"/>
                <w:szCs w:val="24"/>
                <w:highlight w:val="none"/>
                <w:lang w:val="en-US" w:eastAsia="zh-CN" w:bidi="ar-SA"/>
              </w:rPr>
            </w:pPr>
            <w:r>
              <w:rPr>
                <w:bCs/>
                <w:sz w:val="24"/>
                <w:highlight w:val="none"/>
              </w:rPr>
              <w:t xml:space="preserve">注2：残疾人福利性单位须按磋商文件要求提供《残疾人福利性单位声明函》。</w:t>
            </w:r>
            <w:r>
              <w:rPr>
                <w:sz w:val="24"/>
                <w:szCs w:val="24"/>
                <w:highlight w:val="none"/>
                <w:lang w:val="en-US" w:eastAsia="zh-CN" w:bidi="ar-SA"/>
              </w:rPr>
            </w:r>
            <w:r/>
          </w:p>
        </w:tc>
        <w:tc>
          <w:tcPr>
            <w:tcW w:w="2769" w:type="dxa"/>
            <w:vAlign w:val="center"/>
            <w:textDirection w:val="lrTb"/>
            <w:noWrap w:val="false"/>
          </w:tcPr>
          <w:p>
            <w:pPr>
              <w:pStyle w:val="1039"/>
              <w:tabs>
                <w:tab w:val="left" w:pos="1080" w:leader="none"/>
              </w:tabs>
              <w:rPr>
                <w:sz w:val="24"/>
                <w:szCs w:val="24"/>
                <w:highlight w:val="none"/>
                <w:lang w:val="en-US" w:eastAsia="zh-CN" w:bidi="ar-SA"/>
              </w:rPr>
            </w:pPr>
            <w:r>
              <w:rPr>
                <w:sz w:val="24"/>
                <w:highlight w:val="none"/>
              </w:rPr>
              <w:t xml:space="preserve">格式见《响应文件格式》</w:t>
            </w:r>
            <w:r>
              <w:rPr>
                <w:sz w:val="24"/>
                <w:szCs w:val="24"/>
                <w:highlight w:val="none"/>
                <w:lang w:val="en-US" w:eastAsia="zh-CN" w:bidi="ar-SA"/>
              </w:rPr>
            </w:r>
            <w:r/>
          </w:p>
        </w:tc>
      </w:tr>
      <w:tr>
        <w:trPr>
          <w:cantSplit/>
          <w:trHeight w:val="599"/>
        </w:trPr>
        <w:tc>
          <w:tcPr>
            <w:tcW w:w="713" w:type="dxa"/>
            <w:vAlign w:val="center"/>
            <w:textDirection w:val="lrTb"/>
            <w:noWrap w:val="false"/>
          </w:tcPr>
          <w:p>
            <w:pPr>
              <w:pStyle w:val="1039"/>
              <w:jc w:val="center"/>
              <w:tabs>
                <w:tab w:val="left" w:pos="1080" w:leader="none"/>
              </w:tabs>
              <w:rPr>
                <w:sz w:val="24"/>
                <w:highlight w:val="none"/>
              </w:rPr>
            </w:pPr>
            <w:r>
              <w:rPr>
                <w:sz w:val="24"/>
                <w:highlight w:val="none"/>
              </w:rPr>
              <w:t xml:space="preserve">3</w:t>
            </w:r>
            <w:r>
              <w:rPr>
                <w:sz w:val="24"/>
                <w:highlight w:val="none"/>
              </w:rPr>
            </w:r>
            <w:r/>
          </w:p>
        </w:tc>
        <w:tc>
          <w:tcPr>
            <w:tcW w:w="1931" w:type="dxa"/>
            <w:vAlign w:val="center"/>
            <w:textDirection w:val="lrTb"/>
            <w:noWrap w:val="false"/>
          </w:tcPr>
          <w:p>
            <w:pPr>
              <w:pStyle w:val="1039"/>
              <w:tabs>
                <w:tab w:val="left" w:pos="1080" w:leader="none"/>
              </w:tabs>
              <w:rPr>
                <w:sz w:val="24"/>
                <w:highlight w:val="none"/>
              </w:rPr>
            </w:pPr>
            <w:r>
              <w:rPr>
                <w:sz w:val="24"/>
                <w:highlight w:val="none"/>
              </w:rPr>
              <w:t xml:space="preserve">本项目的特定资格要求</w:t>
            </w:r>
            <w:r>
              <w:rPr>
                <w:sz w:val="24"/>
                <w:highlight w:val="none"/>
              </w:rPr>
            </w:r>
            <w:r/>
          </w:p>
        </w:tc>
        <w:tc>
          <w:tcPr>
            <w:tcW w:w="4102" w:type="dxa"/>
            <w:vAlign w:val="center"/>
            <w:textDirection w:val="lrTb"/>
            <w:noWrap w:val="false"/>
          </w:tcPr>
          <w:p>
            <w:pPr>
              <w:pStyle w:val="1039"/>
              <w:tabs>
                <w:tab w:val="left" w:pos="1080" w:leader="none"/>
              </w:tabs>
              <w:rPr>
                <w:sz w:val="24"/>
                <w:highlight w:val="none"/>
              </w:rPr>
            </w:pPr>
            <w:r>
              <w:rPr>
                <w:sz w:val="24"/>
                <w:highlight w:val="none"/>
              </w:rPr>
              <w:t xml:space="preserve">如有，见第一章《磋商邀请》</w:t>
            </w:r>
            <w:r>
              <w:rPr>
                <w:sz w:val="24"/>
                <w:highlight w:val="none"/>
              </w:rPr>
            </w:r>
            <w:r/>
          </w:p>
        </w:tc>
        <w:tc>
          <w:tcPr>
            <w:tcW w:w="2769" w:type="dxa"/>
            <w:vAlign w:val="center"/>
            <w:textDirection w:val="lrTb"/>
            <w:noWrap w:val="false"/>
          </w:tcPr>
          <w:p>
            <w:pPr>
              <w:pStyle w:val="1039"/>
              <w:tabs>
                <w:tab w:val="left" w:pos="1080" w:leader="none"/>
              </w:tabs>
              <w:rPr>
                <w:sz w:val="24"/>
                <w:highlight w:val="none"/>
              </w:rPr>
            </w:pPr>
            <w:r>
              <w:rPr>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rFonts w:eastAsia="宋体"/>
                <w:sz w:val="24"/>
                <w:highlight w:val="none"/>
                <w:lang w:val="en-US" w:eastAsia="zh-CN"/>
              </w:rPr>
            </w:pPr>
            <w:r>
              <w:rPr>
                <w:rFonts w:hint="eastAsia"/>
                <w:sz w:val="24"/>
                <w:highlight w:val="none"/>
                <w:lang w:val="en-US" w:eastAsia="zh-CN"/>
              </w:rPr>
              <w:t xml:space="preserve">3-1</w:t>
            </w:r>
            <w:r>
              <w:rPr>
                <w:rFonts w:eastAsia="宋体"/>
                <w:sz w:val="24"/>
                <w:highlight w:val="none"/>
                <w:lang w:val="en-US" w:eastAsia="zh-CN"/>
              </w:rPr>
            </w:r>
            <w:r/>
          </w:p>
        </w:tc>
        <w:tc>
          <w:tcPr>
            <w:tcW w:w="1931" w:type="dxa"/>
            <w:vAlign w:val="center"/>
            <w:textDirection w:val="lrTb"/>
            <w:noWrap w:val="false"/>
          </w:tcPr>
          <w:p>
            <w:pPr>
              <w:pStyle w:val="1039"/>
              <w:tabs>
                <w:tab w:val="left" w:pos="1080" w:leader="none"/>
              </w:tabs>
              <w:rPr>
                <w:sz w:val="24"/>
                <w:highlight w:val="none"/>
              </w:rPr>
            </w:pPr>
            <w:r>
              <w:rPr>
                <w:rFonts w:hint="eastAsia" w:ascii="宋体" w:hAnsi="宋体" w:eastAsia="宋体" w:cs="宋体"/>
                <w:color w:val="000000"/>
                <w:sz w:val="24"/>
                <w:highlight w:val="none"/>
              </w:rPr>
              <w:t xml:space="preserve">本项目是否接受分支机构参与投标</w:t>
            </w:r>
            <w:r>
              <w:rPr>
                <w:sz w:val="24"/>
                <w:highlight w:val="none"/>
              </w:rPr>
            </w:r>
            <w:r/>
          </w:p>
        </w:tc>
        <w:tc>
          <w:tcPr>
            <w:tcW w:w="4102" w:type="dxa"/>
            <w:vAlign w:val="center"/>
            <w:textDirection w:val="lrTb"/>
            <w:noWrap w:val="false"/>
          </w:tcPr>
          <w:p>
            <w:pPr>
              <w:pStyle w:val="1039"/>
              <w:tabs>
                <w:tab w:val="left" w:pos="1080" w:leader="none"/>
              </w:tabs>
              <w:rPr>
                <w:bCs/>
                <w:sz w:val="24"/>
                <w:highlight w:val="none"/>
                <w:lang w:val="en-US" w:eastAsia="zh-CN"/>
              </w:rPr>
            </w:pPr>
            <w:r>
              <w:rPr>
                <w:rFonts w:hint="eastAsia"/>
                <w:bCs/>
                <w:sz w:val="24"/>
                <w:highlight w:val="none"/>
                <w:lang w:val="en-US" w:eastAsia="zh-CN"/>
              </w:rPr>
              <w:t xml:space="preserve">否</w:t>
            </w:r>
            <w:r>
              <w:rPr>
                <w:bCs/>
                <w:sz w:val="24"/>
                <w:highlight w:val="none"/>
                <w:lang w:val="en-US" w:eastAsia="zh-CN"/>
              </w:rPr>
            </w:r>
            <w:r/>
          </w:p>
        </w:tc>
        <w:tc>
          <w:tcPr>
            <w:tcW w:w="2769" w:type="dxa"/>
            <w:vAlign w:val="center"/>
            <w:textDirection w:val="lrTb"/>
            <w:noWrap w:val="false"/>
          </w:tcPr>
          <w:p>
            <w:pPr>
              <w:pStyle w:val="1039"/>
              <w:tabs>
                <w:tab w:val="left" w:pos="1080" w:leader="none"/>
              </w:tabs>
              <w:rPr>
                <w:bCs/>
                <w:sz w:val="24"/>
                <w:highlight w:val="none"/>
              </w:rPr>
            </w:pPr>
            <w:r>
              <w:rPr>
                <w:bCs/>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sz w:val="24"/>
                <w:highlight w:val="none"/>
                <w:lang w:val="en-US" w:eastAsia="zh-CN"/>
              </w:rPr>
            </w:pPr>
            <w:r>
              <w:rPr>
                <w:rFonts w:hint="eastAsia"/>
                <w:sz w:val="24"/>
                <w:highlight w:val="none"/>
                <w:lang w:val="en-US" w:eastAsia="zh-CN"/>
              </w:rPr>
              <w:t xml:space="preserve">3-2</w:t>
            </w:r>
            <w:r>
              <w:rPr>
                <w:sz w:val="24"/>
                <w:highlight w:val="none"/>
                <w:lang w:val="en-US" w:eastAsia="zh-CN"/>
              </w:rPr>
            </w:r>
            <w:r/>
          </w:p>
        </w:tc>
        <w:tc>
          <w:tcPr>
            <w:tcW w:w="1931" w:type="dxa"/>
            <w:vAlign w:val="center"/>
            <w:textDirection w:val="lrTb"/>
            <w:noWrap w:val="false"/>
          </w:tcPr>
          <w:p>
            <w:pPr>
              <w:pStyle w:val="1039"/>
              <w:tabs>
                <w:tab w:val="left" w:pos="1080" w:leader="none"/>
              </w:tabs>
              <w:rPr>
                <w:sz w:val="24"/>
                <w:highlight w:val="none"/>
              </w:rPr>
            </w:pPr>
            <w:r>
              <w:rPr>
                <w:rFonts w:hint="eastAsia" w:ascii="宋体" w:hAnsi="宋体" w:eastAsia="宋体" w:cs="宋体"/>
                <w:color w:val="000000"/>
                <w:sz w:val="24"/>
                <w:highlight w:val="none"/>
              </w:rPr>
              <w:t xml:space="preserve">本项目是否属于政府购买服务</w:t>
            </w:r>
            <w:r>
              <w:rPr>
                <w:sz w:val="24"/>
                <w:highlight w:val="none"/>
              </w:rPr>
            </w:r>
            <w:r/>
          </w:p>
        </w:tc>
        <w:tc>
          <w:tcPr>
            <w:tcW w:w="4102" w:type="dxa"/>
            <w:vAlign w:val="center"/>
            <w:textDirection w:val="lrTb"/>
            <w:noWrap w:val="false"/>
          </w:tcPr>
          <w:p>
            <w:pPr>
              <w:pStyle w:val="1039"/>
              <w:spacing w:line="360" w:lineRule="auto"/>
              <w:tabs>
                <w:tab w:val="left" w:pos="900" w:leader="none"/>
                <w:tab w:val="left" w:pos="1134" w:leader="none"/>
                <w:tab w:val="left" w:pos="1589" w:leader="none"/>
                <w:tab w:val="left" w:pos="5521" w:leader="none"/>
              </w:tabs>
              <w:rPr>
                <w:bCs/>
                <w:sz w:val="24"/>
                <w:highlight w:val="none"/>
                <w:lang w:val="en-US" w:eastAsia="zh-CN"/>
              </w:rPr>
            </w:pPr>
            <w:r>
              <w:rPr>
                <w:rFonts w:eastAsia="宋体"/>
                <w:sz w:val="24"/>
                <w:highlight w:val="none"/>
              </w:rPr>
              <w:t xml:space="preserve">是，公益一类事业单位、使用事业编制且由财政拨款保障的群团组织，不得作为承接主体；</w:t>
            </w:r>
            <w:r>
              <w:rPr>
                <w:bCs/>
                <w:sz w:val="24"/>
                <w:highlight w:val="none"/>
                <w:lang w:val="en-US" w:eastAsia="zh-CN"/>
              </w:rPr>
            </w:r>
            <w:r/>
          </w:p>
        </w:tc>
        <w:tc>
          <w:tcPr>
            <w:tcW w:w="2769" w:type="dxa"/>
            <w:vAlign w:val="center"/>
            <w:textDirection w:val="lrTb"/>
            <w:noWrap w:val="false"/>
          </w:tcPr>
          <w:p>
            <w:pPr>
              <w:pStyle w:val="1039"/>
              <w:tabs>
                <w:tab w:val="left" w:pos="1080" w:leader="none"/>
              </w:tabs>
              <w:rPr>
                <w:bCs/>
                <w:sz w:val="24"/>
                <w:highlight w:val="none"/>
              </w:rPr>
            </w:pPr>
            <w:r>
              <w:rPr>
                <w:bCs/>
                <w:sz w:val="24"/>
                <w:highlight w:val="none"/>
              </w:rPr>
            </w:r>
            <w:r/>
          </w:p>
        </w:tc>
      </w:tr>
      <w:tr>
        <w:trPr>
          <w:cantSplit/>
          <w:trHeight w:val="20"/>
        </w:trPr>
        <w:tc>
          <w:tcPr>
            <w:tcW w:w="713" w:type="dxa"/>
            <w:vAlign w:val="center"/>
            <w:textDirection w:val="lrTb"/>
            <w:noWrap w:val="false"/>
          </w:tcPr>
          <w:p>
            <w:pPr>
              <w:pStyle w:val="1039"/>
              <w:jc w:val="center"/>
              <w:tabs>
                <w:tab w:val="left" w:pos="1080" w:leader="none"/>
              </w:tabs>
              <w:rPr>
                <w:sz w:val="24"/>
                <w:highlight w:val="none"/>
              </w:rPr>
            </w:pPr>
            <w:r>
              <w:rPr>
                <w:sz w:val="24"/>
                <w:highlight w:val="none"/>
              </w:rPr>
              <w:t xml:space="preserve">3-3</w:t>
            </w:r>
            <w:r>
              <w:rPr>
                <w:sz w:val="24"/>
                <w:highlight w:val="none"/>
              </w:rPr>
            </w:r>
            <w:r/>
          </w:p>
        </w:tc>
        <w:tc>
          <w:tcPr>
            <w:tcW w:w="1931" w:type="dxa"/>
            <w:vAlign w:val="center"/>
            <w:textDirection w:val="lrTb"/>
            <w:noWrap w:val="false"/>
          </w:tcPr>
          <w:p>
            <w:pPr>
              <w:pStyle w:val="1039"/>
              <w:tabs>
                <w:tab w:val="left" w:pos="1080" w:leader="none"/>
              </w:tabs>
              <w:rPr>
                <w:sz w:val="24"/>
                <w:highlight w:val="none"/>
              </w:rPr>
            </w:pPr>
            <w:r>
              <w:rPr>
                <w:sz w:val="24"/>
                <w:highlight w:val="none"/>
              </w:rPr>
              <w:t xml:space="preserve">其他特定资格要求</w:t>
            </w:r>
            <w:r>
              <w:rPr>
                <w:sz w:val="24"/>
                <w:highlight w:val="none"/>
              </w:rPr>
            </w:r>
            <w:r/>
          </w:p>
        </w:tc>
        <w:tc>
          <w:tcPr>
            <w:tcW w:w="4102" w:type="dxa"/>
            <w:vAlign w:val="center"/>
            <w:textDirection w:val="lrTb"/>
            <w:noWrap w:val="false"/>
          </w:tcPr>
          <w:p>
            <w:pPr>
              <w:pStyle w:val="1039"/>
              <w:tabs>
                <w:tab w:val="left" w:pos="1080" w:leader="none"/>
              </w:tabs>
              <w:rPr>
                <w:rFonts w:hint="eastAsia" w:eastAsia="宋体"/>
                <w:bCs/>
                <w:sz w:val="24"/>
                <w:highlight w:val="none"/>
                <w:lang w:val="en-US" w:eastAsia="zh-CN"/>
              </w:rPr>
            </w:pPr>
            <w:r>
              <w:rPr>
                <w:rFonts w:hint="eastAsia"/>
                <w:bCs/>
                <w:sz w:val="24"/>
                <w:highlight w:val="none"/>
              </w:rPr>
              <w:t xml:space="preserve">具有合法有效的食品经营许可证或食品生产许可证</w:t>
            </w:r>
            <w:r>
              <w:rPr>
                <w:rFonts w:hint="eastAsia" w:eastAsia="宋体"/>
                <w:bCs/>
                <w:sz w:val="24"/>
                <w:highlight w:val="none"/>
                <w:lang w:val="en-US" w:eastAsia="zh-CN"/>
              </w:rPr>
            </w:r>
            <w:r/>
          </w:p>
        </w:tc>
        <w:tc>
          <w:tcPr>
            <w:tcW w:w="2769" w:type="dxa"/>
            <w:vAlign w:val="center"/>
            <w:textDirection w:val="lrTb"/>
            <w:noWrap w:val="false"/>
          </w:tcPr>
          <w:p>
            <w:pPr>
              <w:pStyle w:val="1039"/>
              <w:tabs>
                <w:tab w:val="left" w:pos="1080" w:leader="none"/>
              </w:tabs>
              <w:rPr>
                <w:bCs/>
                <w:sz w:val="24"/>
                <w:highlight w:val="none"/>
              </w:rPr>
            </w:pPr>
            <w:r>
              <w:rPr>
                <w:rFonts w:hint="eastAsia" w:ascii="Times New Roman" w:eastAsia="宋体"/>
                <w:bCs/>
                <w:sz w:val="24"/>
                <w:highlight w:val="none"/>
                <w:lang w:val="en-US" w:eastAsia="zh-CN"/>
              </w:rPr>
              <w:t xml:space="preserve">提供证书扫描件或电子证照</w:t>
            </w:r>
            <w:r>
              <w:rPr>
                <w:bCs/>
                <w:sz w:val="24"/>
                <w:highlight w:val="none"/>
              </w:rPr>
            </w:r>
            <w:r/>
          </w:p>
        </w:tc>
      </w:tr>
    </w:tbl>
    <w:p>
      <w:pPr>
        <w:pStyle w:val="1039"/>
        <w:jc w:val="left"/>
        <w:widowControl/>
        <w:rPr>
          <w:sz w:val="24"/>
          <w:highlight w:val="none"/>
        </w:rPr>
      </w:pPr>
      <w:r>
        <w:rPr>
          <w:sz w:val="24"/>
          <w:highlight w:val="none"/>
        </w:rPr>
        <w:br w:type="page" w:clear="all"/>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1039"/>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1039"/>
              <w:jc w:val="center"/>
              <w:widowControl/>
              <w:rPr>
                <w:b/>
                <w:sz w:val="24"/>
                <w:highlight w:val="none"/>
              </w:rPr>
            </w:pPr>
            <w:r>
              <w:rPr>
                <w:b/>
                <w:sz w:val="24"/>
                <w:highlight w:val="none"/>
              </w:rPr>
              <w:t xml:space="preserve">序号</w:t>
            </w:r>
            <w:r>
              <w:rPr>
                <w:b/>
                <w:sz w:val="24"/>
                <w:highlight w:val="none"/>
              </w:rPr>
            </w:r>
            <w:r/>
          </w:p>
        </w:tc>
        <w:tc>
          <w:tcPr>
            <w:tcW w:w="975" w:type="dxa"/>
            <w:vAlign w:val="center"/>
            <w:textDirection w:val="lrTb"/>
            <w:noWrap w:val="false"/>
          </w:tcPr>
          <w:p>
            <w:pPr>
              <w:pStyle w:val="1039"/>
              <w:jc w:val="center"/>
              <w:widowControl/>
              <w:rPr>
                <w:b/>
                <w:sz w:val="24"/>
                <w:highlight w:val="none"/>
              </w:rPr>
            </w:pPr>
            <w:r>
              <w:rPr>
                <w:b/>
                <w:sz w:val="24"/>
                <w:highlight w:val="none"/>
              </w:rPr>
              <w:t xml:space="preserve">审查因素</w:t>
            </w:r>
            <w:r>
              <w:rPr>
                <w:b/>
                <w:sz w:val="24"/>
                <w:highlight w:val="none"/>
              </w:rPr>
            </w:r>
            <w:r/>
          </w:p>
        </w:tc>
        <w:tc>
          <w:tcPr>
            <w:tcW w:w="3621" w:type="dxa"/>
            <w:vAlign w:val="center"/>
            <w:textDirection w:val="lrTb"/>
            <w:noWrap w:val="false"/>
          </w:tcPr>
          <w:p>
            <w:pPr>
              <w:pStyle w:val="1039"/>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sz w:val="24"/>
                <w:highlight w:val="none"/>
              </w:rPr>
              <w:t xml:space="preserve">1</w:t>
            </w:r>
            <w:r>
              <w:rPr>
                <w:sz w:val="24"/>
                <w:highlight w:val="none"/>
              </w:rPr>
            </w:r>
            <w:r/>
          </w:p>
        </w:tc>
        <w:tc>
          <w:tcPr>
            <w:tcW w:w="975" w:type="dxa"/>
            <w:vAlign w:val="center"/>
            <w:textDirection w:val="lrTb"/>
            <w:noWrap w:val="false"/>
          </w:tcPr>
          <w:p>
            <w:pPr>
              <w:pStyle w:val="1039"/>
              <w:jc w:val="left"/>
              <w:widowControl/>
              <w:rPr>
                <w:sz w:val="24"/>
                <w:highlight w:val="none"/>
              </w:rPr>
            </w:pPr>
            <w:r>
              <w:rPr>
                <w:rFonts w:hint="eastAsia"/>
                <w:sz w:val="24"/>
                <w:highlight w:val="none"/>
              </w:rPr>
              <w:t xml:space="preserve">响应函、</w:t>
            </w:r>
            <w:r>
              <w:rPr>
                <w:rFonts w:hint="eastAsia"/>
                <w:sz w:val="24"/>
                <w:highlight w:val="none"/>
              </w:rPr>
              <w:t xml:space="preserve">法定代表人资格证明书和政府采购供应商信用承诺书</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按磋商文件要求提供</w:t>
            </w:r>
            <w:r>
              <w:rPr>
                <w:rFonts w:hint="eastAsia"/>
                <w:sz w:val="24"/>
                <w:highlight w:val="none"/>
              </w:rPr>
              <w:t xml:space="preserve">响应函、</w:t>
            </w:r>
            <w:r>
              <w:rPr>
                <w:rFonts w:hint="eastAsia"/>
                <w:sz w:val="24"/>
                <w:highlight w:val="none"/>
              </w:rPr>
              <w:t xml:space="preserve">法定代表人资格证明书和政府采购供应商信用承诺书</w:t>
            </w:r>
            <w:r>
              <w:rPr>
                <w:sz w:val="24"/>
                <w:highlight w:val="none"/>
              </w:rPr>
              <w:t xml:space="preserve">；</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sz w:val="24"/>
                <w:highlight w:val="none"/>
              </w:rPr>
              <w:t xml:space="preserve">2</w:t>
            </w:r>
            <w:r>
              <w:rPr>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响应完整性</w:t>
            </w:r>
            <w:r>
              <w:rPr>
                <w:sz w:val="24"/>
                <w:highlight w:val="none"/>
              </w:rPr>
            </w:r>
            <w:r/>
          </w:p>
        </w:tc>
        <w:tc>
          <w:tcPr>
            <w:tcW w:w="3621" w:type="dxa"/>
            <w:vAlign w:val="center"/>
            <w:textDirection w:val="lrTb"/>
            <w:noWrap w:val="false"/>
          </w:tcPr>
          <w:p>
            <w:pPr>
              <w:pStyle w:val="1039"/>
              <w:jc w:val="left"/>
              <w:widowControl/>
              <w:rPr>
                <w:sz w:val="24"/>
                <w:highlight w:val="none"/>
              </w:rPr>
            </w:pPr>
            <w:r>
              <w:rPr>
                <w:rFonts w:hint="eastAsia"/>
                <w:sz w:val="24"/>
                <w:highlight w:val="none"/>
              </w:rPr>
              <w:t xml:space="preserve">未</w:t>
            </w:r>
            <w:r>
              <w:rPr>
                <w:sz w:val="24"/>
                <w:highlight w:val="none"/>
              </w:rPr>
              <w:t xml:space="preserve">将一个采购包中的内容拆开响应；</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sz w:val="24"/>
                <w:highlight w:val="none"/>
              </w:rPr>
              <w:t xml:space="preserve">3</w:t>
            </w:r>
            <w:r>
              <w:rPr>
                <w:sz w:val="24"/>
                <w:highlight w:val="none"/>
              </w:rPr>
            </w:r>
            <w:r/>
          </w:p>
        </w:tc>
        <w:tc>
          <w:tcPr>
            <w:tcW w:w="975" w:type="dxa"/>
            <w:vAlign w:val="center"/>
            <w:textDirection w:val="lrTb"/>
            <w:noWrap w:val="false"/>
          </w:tcPr>
          <w:p>
            <w:pPr>
              <w:pStyle w:val="1039"/>
              <w:jc w:val="left"/>
              <w:widowControl/>
              <w:rPr>
                <w:b/>
                <w:bCs/>
                <w:sz w:val="24"/>
                <w:highlight w:val="none"/>
              </w:rPr>
            </w:pPr>
            <w:r>
              <w:rPr>
                <w:b/>
                <w:bCs/>
                <w:sz w:val="24"/>
                <w:highlight w:val="none"/>
              </w:rPr>
              <w:t xml:space="preserve">响应报价</w:t>
            </w:r>
            <w:r>
              <w:rPr>
                <w:b/>
                <w:bCs/>
                <w:sz w:val="24"/>
                <w:highlight w:val="none"/>
              </w:rPr>
            </w:r>
            <w:r/>
          </w:p>
        </w:tc>
        <w:tc>
          <w:tcPr>
            <w:tcW w:w="3621" w:type="dxa"/>
            <w:vAlign w:val="center"/>
            <w:textDirection w:val="lrTb"/>
            <w:noWrap w:val="false"/>
          </w:tcPr>
          <w:p>
            <w:pPr>
              <w:pStyle w:val="1039"/>
              <w:jc w:val="left"/>
              <w:widowControl/>
              <w:rPr>
                <w:b/>
                <w:bCs/>
                <w:sz w:val="24"/>
                <w:highlight w:val="none"/>
              </w:rPr>
            </w:pPr>
            <w:r>
              <w:rPr>
                <w:b/>
                <w:bCs/>
                <w:sz w:val="24"/>
                <w:highlight w:val="none"/>
              </w:rPr>
              <w:t xml:space="preserve">响应报价</w:t>
            </w:r>
            <w:r>
              <w:rPr>
                <w:rFonts w:hint="eastAsia"/>
                <w:b/>
                <w:bCs/>
                <w:sz w:val="24"/>
                <w:highlight w:val="none"/>
              </w:rPr>
              <w:t xml:space="preserve">未</w:t>
            </w:r>
            <w:r>
              <w:rPr>
                <w:b/>
                <w:bCs/>
                <w:sz w:val="24"/>
                <w:highlight w:val="none"/>
              </w:rPr>
              <w:t xml:space="preserve">超过磋商文件中规定的项目预算金额或者</w:t>
            </w:r>
            <w:r>
              <w:rPr>
                <w:rFonts w:hint="eastAsia"/>
                <w:b/>
                <w:bCs/>
                <w:sz w:val="24"/>
                <w:highlight w:val="none"/>
              </w:rPr>
              <w:t xml:space="preserve">最高限价</w:t>
            </w:r>
            <w:r>
              <w:rPr>
                <w:rFonts w:hint="eastAsia"/>
                <w:b/>
                <w:bCs/>
                <w:sz w:val="24"/>
                <w:highlight w:val="none"/>
                <w:lang w:val="en-US" w:eastAsia="zh-CN"/>
              </w:rPr>
            </w:r>
            <w:r>
              <w:rPr>
                <w:b/>
                <w:bCs/>
                <w:sz w:val="24"/>
                <w:highlight w:val="none"/>
              </w:rPr>
              <w:t xml:space="preserve">；</w:t>
            </w:r>
            <w:r>
              <w:rPr>
                <w:b/>
                <w:bCs/>
                <w:sz w:val="24"/>
                <w:highlight w:val="none"/>
              </w:rPr>
            </w:r>
            <w:r/>
          </w:p>
        </w:tc>
      </w:tr>
      <w:tr>
        <w:trPr>
          <w:trHeight w:val="685"/>
        </w:trPr>
        <w:tc>
          <w:tcPr>
            <w:tcW w:w="747" w:type="dxa"/>
            <w:vAlign w:val="center"/>
            <w:textDirection w:val="lrTb"/>
            <w:noWrap w:val="false"/>
          </w:tcPr>
          <w:p>
            <w:pPr>
              <w:pStyle w:val="1039"/>
              <w:jc w:val="center"/>
              <w:widowControl/>
              <w:rPr>
                <w:rFonts w:hint="eastAsia"/>
                <w:sz w:val="24"/>
                <w:highlight w:val="none"/>
              </w:rPr>
            </w:pPr>
            <w:r>
              <w:rPr>
                <w:rFonts w:hint="eastAsia"/>
                <w:sz w:val="24"/>
                <w:highlight w:val="none"/>
              </w:rPr>
              <w:t xml:space="preserve">4</w:t>
            </w:r>
            <w:r>
              <w:rPr>
                <w:rFonts w:hint="eastAsia"/>
                <w:sz w:val="24"/>
                <w:highlight w:val="none"/>
              </w:rPr>
            </w:r>
            <w:r/>
          </w:p>
        </w:tc>
        <w:tc>
          <w:tcPr>
            <w:tcW w:w="1812" w:type="dxa"/>
            <w:vAlign w:val="center"/>
            <w:textDirection w:val="lrTb"/>
            <w:noWrap w:val="false"/>
          </w:tcPr>
          <w:p>
            <w:pPr>
              <w:pStyle w:val="1039"/>
              <w:jc w:val="left"/>
              <w:widowControl/>
              <w:rPr>
                <w:b/>
                <w:bCs/>
                <w:sz w:val="24"/>
                <w:highlight w:val="none"/>
              </w:rPr>
            </w:pPr>
            <w:r>
              <w:rPr>
                <w:sz w:val="24"/>
                <w:highlight w:val="none"/>
              </w:rPr>
              <w:t xml:space="preserve">报价合理性</w:t>
            </w:r>
            <w:r>
              <w:rPr>
                <w:b/>
                <w:bCs/>
                <w:sz w:val="24"/>
                <w:highlight w:val="none"/>
              </w:rPr>
            </w:r>
            <w:r/>
          </w:p>
        </w:tc>
        <w:tc>
          <w:tcPr>
            <w:tcW w:w="6729" w:type="dxa"/>
            <w:vAlign w:val="center"/>
            <w:textDirection w:val="lrTb"/>
            <w:noWrap w:val="false"/>
          </w:tcPr>
          <w:p>
            <w:pPr>
              <w:pStyle w:val="1039"/>
              <w:jc w:val="left"/>
              <w:widowControl/>
              <w:rPr>
                <w:b/>
                <w:bCs/>
                <w:sz w:val="24"/>
                <w:highlight w:val="none"/>
              </w:rPr>
            </w:pPr>
            <w:r>
              <w:rPr>
                <w:sz w:val="24"/>
                <w:highlight w:val="none"/>
              </w:rPr>
              <w:t xml:space="preserve">报价合理，或</w:t>
            </w:r>
            <w:r>
              <w:rPr>
                <w:rFonts w:hint="eastAsia"/>
                <w:sz w:val="24"/>
                <w:highlight w:val="none"/>
              </w:rPr>
              <w:t xml:space="preserve">供应商的报价明显低于其他通过符合性审查供应商的报价，</w:t>
            </w:r>
            <w:r>
              <w:rPr>
                <w:sz w:val="24"/>
                <w:highlight w:val="none"/>
              </w:rPr>
              <w:t xml:space="preserve">有可能影响</w:t>
            </w:r>
            <w:r>
              <w:rPr>
                <w:rFonts w:hint="eastAsia"/>
                <w:sz w:val="24"/>
                <w:highlight w:val="none"/>
              </w:rPr>
              <w:t xml:space="preserve">工程</w:t>
            </w:r>
            <w:r>
              <w:rPr>
                <w:sz w:val="24"/>
                <w:highlight w:val="none"/>
              </w:rPr>
              <w:t xml:space="preserve">质量或者不能诚信履约的</w:t>
            </w:r>
            <w:r>
              <w:rPr>
                <w:rFonts w:hint="eastAsia"/>
                <w:sz w:val="24"/>
                <w:highlight w:val="none"/>
              </w:rPr>
              <w:t xml:space="preserve">，能够应磋商小组要求在规定时间内证明其报价合理性的</w:t>
            </w:r>
            <w:r>
              <w:rPr>
                <w:sz w:val="24"/>
                <w:highlight w:val="none"/>
              </w:rPr>
              <w:t xml:space="preserve">；</w:t>
            </w:r>
            <w:r>
              <w:rPr>
                <w:b/>
                <w:bCs/>
                <w:sz w:val="24"/>
                <w:highlight w:val="none"/>
              </w:rPr>
            </w:r>
            <w:r/>
          </w:p>
        </w:tc>
      </w:tr>
      <w:tr>
        <w:trPr>
          <w:trHeight w:val="687"/>
        </w:trPr>
        <w:tc>
          <w:tcPr>
            <w:tcW w:w="402" w:type="dxa"/>
            <w:vAlign w:val="center"/>
            <w:textDirection w:val="lrTb"/>
            <w:noWrap w:val="false"/>
          </w:tcPr>
          <w:p>
            <w:pPr>
              <w:pStyle w:val="1039"/>
              <w:jc w:val="center"/>
              <w:widowControl/>
              <w:rPr>
                <w:rFonts w:hint="eastAsia"/>
                <w:sz w:val="24"/>
                <w:highlight w:val="none"/>
              </w:rPr>
            </w:pPr>
            <w:r>
              <w:rPr>
                <w:rFonts w:hint="eastAsia"/>
                <w:sz w:val="24"/>
                <w:highlight w:val="none"/>
              </w:rPr>
              <w:t xml:space="preserve">5</w:t>
            </w:r>
            <w:r>
              <w:rPr>
                <w:rFonts w:hint="eastAsia"/>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报价唯一性</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响应文件</w:t>
            </w:r>
            <w:r>
              <w:rPr>
                <w:rFonts w:hint="eastAsia"/>
                <w:sz w:val="24"/>
                <w:highlight w:val="none"/>
              </w:rPr>
              <w:t xml:space="preserve">未</w:t>
            </w:r>
            <w:r>
              <w:rPr>
                <w:rFonts w:hint="eastAsia"/>
                <w:sz w:val="24"/>
                <w:highlight w:val="none"/>
              </w:rPr>
              <w:t xml:space="preserve">出现可选择性或可调整的报价（磋商文件另有规定的除外）</w:t>
            </w:r>
            <w:r>
              <w:rPr>
                <w:sz w:val="24"/>
                <w:highlight w:val="none"/>
              </w:rPr>
              <w:t xml:space="preserve">；</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sz w:val="24"/>
                <w:highlight w:val="none"/>
              </w:rPr>
              <w:t xml:space="preserve">5</w:t>
            </w:r>
            <w:r>
              <w:rPr>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响应有效期</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响应文件中承诺的响应有效期</w:t>
            </w:r>
            <w:r>
              <w:rPr>
                <w:rFonts w:hint="eastAsia"/>
                <w:sz w:val="24"/>
                <w:highlight w:val="none"/>
              </w:rPr>
              <w:t xml:space="preserve">满足</w:t>
            </w:r>
            <w:r>
              <w:rPr>
                <w:sz w:val="24"/>
                <w:highlight w:val="none"/>
              </w:rPr>
              <w:t xml:space="preserve">磋商文件中载明的响应有效期的；</w:t>
            </w:r>
            <w:r>
              <w:rPr>
                <w:sz w:val="24"/>
                <w:highlight w:val="none"/>
              </w:rPr>
            </w:r>
            <w:r/>
          </w:p>
        </w:tc>
      </w:tr>
      <w:tr>
        <w:trPr>
          <w:trHeight w:val="691"/>
        </w:trPr>
        <w:tc>
          <w:tcPr>
            <w:tcW w:w="402" w:type="dxa"/>
            <w:vAlign w:val="center"/>
            <w:textDirection w:val="lrTb"/>
            <w:noWrap w:val="false"/>
          </w:tcPr>
          <w:p>
            <w:pPr>
              <w:pStyle w:val="1039"/>
              <w:jc w:val="center"/>
              <w:widowControl/>
              <w:rPr>
                <w:sz w:val="24"/>
                <w:highlight w:val="none"/>
              </w:rPr>
            </w:pPr>
            <w:r>
              <w:rPr>
                <w:sz w:val="24"/>
                <w:highlight w:val="none"/>
              </w:rPr>
              <w:t xml:space="preserve">6</w:t>
            </w:r>
            <w:r>
              <w:rPr>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签署、加盖公章</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按照磋商文件要求签署、加盖公章的；</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rFonts w:hint="eastAsia"/>
                <w:sz w:val="24"/>
                <w:highlight w:val="none"/>
              </w:rPr>
              <w:t xml:space="preserve">7</w:t>
            </w:r>
            <w:r>
              <w:rPr>
                <w:sz w:val="24"/>
                <w:highlight w:val="none"/>
              </w:rPr>
            </w:r>
            <w:r/>
          </w:p>
        </w:tc>
        <w:tc>
          <w:tcPr>
            <w:tcW w:w="975" w:type="dxa"/>
            <w:vAlign w:val="center"/>
            <w:textDirection w:val="lrTb"/>
            <w:noWrap w:val="false"/>
          </w:tcPr>
          <w:p>
            <w:pPr>
              <w:pStyle w:val="1039"/>
              <w:jc w:val="left"/>
              <w:widowControl/>
              <w:rPr>
                <w:sz w:val="24"/>
                <w:highlight w:val="none"/>
              </w:rPr>
            </w:pPr>
            <w:r>
              <w:rPr>
                <w:rFonts w:hint="eastAsia"/>
                <w:sz w:val="24"/>
                <w:highlight w:val="none"/>
              </w:rPr>
              <w:t xml:space="preserve">实质性格式</w:t>
            </w:r>
            <w:r>
              <w:rPr>
                <w:sz w:val="24"/>
                <w:highlight w:val="none"/>
              </w:rPr>
            </w:r>
            <w:r/>
          </w:p>
        </w:tc>
        <w:tc>
          <w:tcPr>
            <w:tcW w:w="3621" w:type="dxa"/>
            <w:vAlign w:val="center"/>
            <w:textDirection w:val="lrTb"/>
            <w:noWrap w:val="false"/>
          </w:tcPr>
          <w:p>
            <w:pPr>
              <w:pStyle w:val="1039"/>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磋商文件</w:t>
            </w:r>
            <w:r>
              <w:rPr>
                <w:rFonts w:hint="eastAsia"/>
                <w:sz w:val="24"/>
                <w:highlight w:val="none"/>
              </w:rPr>
              <w:t xml:space="preserve">要求提供；</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sz w:val="24"/>
                <w:highlight w:val="none"/>
              </w:rPr>
              <w:t xml:space="preserve">8</w:t>
            </w:r>
            <w:r>
              <w:rPr>
                <w:sz w:val="24"/>
                <w:highlight w:val="none"/>
              </w:rPr>
            </w:r>
            <w:r/>
          </w:p>
        </w:tc>
        <w:tc>
          <w:tcPr>
            <w:tcW w:w="975" w:type="dxa"/>
            <w:vAlign w:val="center"/>
            <w:textDirection w:val="lrTb"/>
            <w:noWrap w:val="false"/>
          </w:tcPr>
          <w:p>
            <w:pPr>
              <w:pStyle w:val="1039"/>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响应文件满足磋商文件</w:t>
            </w:r>
            <w:r>
              <w:rPr>
                <w:sz w:val="24"/>
                <w:highlight w:val="none"/>
              </w:rPr>
              <w:t xml:space="preserve">第</w:t>
            </w:r>
            <w:r>
              <w:rPr>
                <w:rFonts w:hint="eastAsia"/>
                <w:sz w:val="24"/>
                <w:highlight w:val="none"/>
              </w:rPr>
              <w:t xml:space="preserve">四</w:t>
            </w:r>
            <w:r>
              <w:rPr>
                <w:sz w:val="24"/>
                <w:highlight w:val="none"/>
              </w:rPr>
              <w:t xml:space="preserve">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号条款要求的；（如有）</w:t>
            </w:r>
            <w:r>
              <w:rPr>
                <w:sz w:val="24"/>
                <w:highlight w:val="none"/>
              </w:rPr>
            </w:r>
            <w:r/>
          </w:p>
        </w:tc>
      </w:tr>
      <w:tr>
        <w:trPr>
          <w:trHeight w:val="685"/>
        </w:trPr>
        <w:tc>
          <w:tcPr>
            <w:tcW w:w="402" w:type="dxa"/>
            <w:vAlign w:val="center"/>
            <w:textDirection w:val="lrTb"/>
            <w:noWrap w:val="false"/>
          </w:tcPr>
          <w:p>
            <w:pPr>
              <w:pStyle w:val="1039"/>
              <w:jc w:val="center"/>
              <w:widowControl/>
              <w:rPr>
                <w:rFonts w:hint="eastAsia"/>
                <w:sz w:val="24"/>
                <w:highlight w:val="none"/>
              </w:rPr>
            </w:pPr>
            <w:r>
              <w:rPr>
                <w:rFonts w:hint="eastAsia"/>
                <w:sz w:val="24"/>
                <w:highlight w:val="none"/>
              </w:rPr>
              <w:t xml:space="preserve">9</w:t>
            </w:r>
            <w:r>
              <w:rPr>
                <w:rFonts w:hint="eastAsia"/>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报价的修正（如有）</w:t>
            </w:r>
            <w:r>
              <w:rPr>
                <w:sz w:val="24"/>
                <w:highlight w:val="none"/>
              </w:rPr>
            </w:r>
            <w:r/>
          </w:p>
        </w:tc>
        <w:tc>
          <w:tcPr>
            <w:tcW w:w="3621" w:type="dxa"/>
            <w:vAlign w:val="center"/>
            <w:textDirection w:val="lrTb"/>
            <w:noWrap w:val="false"/>
          </w:tcPr>
          <w:p>
            <w:pPr>
              <w:pStyle w:val="1039"/>
              <w:jc w:val="left"/>
              <w:widowControl/>
              <w:rPr>
                <w:sz w:val="24"/>
                <w:highlight w:val="none"/>
              </w:rPr>
            </w:pPr>
            <w:r>
              <w:rPr>
                <w:rFonts w:hint="eastAsia"/>
                <w:sz w:val="24"/>
                <w:highlight w:val="none"/>
              </w:rPr>
              <w:t xml:space="preserve">不涉及报价修正</w:t>
            </w:r>
            <w:r>
              <w:rPr>
                <w:sz w:val="24"/>
                <w:highlight w:val="none"/>
              </w:rPr>
              <w:t xml:space="preserve">，或响应文件报价出现前后不一致</w:t>
            </w:r>
            <w:r>
              <w:rPr>
                <w:rFonts w:hint="eastAsia"/>
                <w:sz w:val="24"/>
                <w:highlight w:val="none"/>
              </w:rPr>
              <w:t xml:space="preserve">时</w:t>
            </w:r>
            <w:r>
              <w:rPr>
                <w:sz w:val="24"/>
                <w:highlight w:val="none"/>
              </w:rPr>
              <w:t xml:space="preserve">，供应商对修正后的报价予</w:t>
            </w:r>
            <w:r>
              <w:rPr>
                <w:rFonts w:hint="eastAsia"/>
                <w:sz w:val="24"/>
                <w:highlight w:val="none"/>
              </w:rPr>
              <w:t xml:space="preserve">以</w:t>
            </w:r>
            <w:r>
              <w:rPr>
                <w:sz w:val="24"/>
                <w:highlight w:val="none"/>
              </w:rPr>
              <w:t xml:space="preserve">确认；（如有）</w:t>
            </w:r>
            <w:r>
              <w:rPr>
                <w:sz w:val="24"/>
                <w:highlight w:val="none"/>
              </w:rPr>
            </w:r>
            <w:r/>
          </w:p>
        </w:tc>
      </w:tr>
      <w:tr>
        <w:trPr>
          <w:trHeight w:val="685"/>
        </w:trPr>
        <w:tc>
          <w:tcPr>
            <w:tcW w:w="402" w:type="dxa"/>
            <w:vAlign w:val="center"/>
            <w:textDirection w:val="lrTb"/>
            <w:noWrap w:val="false"/>
          </w:tcPr>
          <w:p>
            <w:pPr>
              <w:pStyle w:val="1039"/>
              <w:jc w:val="center"/>
              <w:widowControl/>
              <w:rPr>
                <w:rFonts w:hint="eastAsia"/>
                <w:sz w:val="24"/>
                <w:highlight w:val="none"/>
              </w:rPr>
            </w:pPr>
            <w:r>
              <w:rPr>
                <w:sz w:val="24"/>
                <w:highlight w:val="none"/>
              </w:rPr>
              <w:t xml:space="preserve">1</w:t>
            </w:r>
            <w:r>
              <w:rPr>
                <w:rFonts w:hint="eastAsia"/>
                <w:sz w:val="24"/>
                <w:highlight w:val="none"/>
              </w:rPr>
              <w:t xml:space="preserve">0</w:t>
            </w:r>
            <w:r>
              <w:rPr>
                <w:rFonts w:hint="eastAsia"/>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公平竞争</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供应商遵循公平竞争的原则，不存在恶意串通，妨碍其他供应商的竞争行为，不存在损害采购人或者其他供应商的合法权益情形的；</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rFonts w:hint="eastAsia"/>
                <w:sz w:val="24"/>
                <w:highlight w:val="none"/>
              </w:rPr>
              <w:t xml:space="preserve">11</w:t>
            </w:r>
            <w:r>
              <w:rPr>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串通响应</w:t>
            </w:r>
            <w:r>
              <w:rPr>
                <w:sz w:val="24"/>
                <w:highlight w:val="none"/>
              </w:rPr>
            </w:r>
            <w:r/>
          </w:p>
        </w:tc>
        <w:tc>
          <w:tcPr>
            <w:tcW w:w="3621" w:type="dxa"/>
            <w:vAlign w:val="center"/>
            <w:textDirection w:val="lrTb"/>
            <w:noWrap w:val="false"/>
          </w:tcPr>
          <w:p>
            <w:pPr>
              <w:pStyle w:val="1039"/>
              <w:jc w:val="left"/>
              <w:widowControl/>
              <w:rPr>
                <w:sz w:val="24"/>
                <w:highlight w:val="none"/>
              </w:rPr>
            </w:pPr>
            <w:r>
              <w:rPr>
                <w:rFonts w:hint="eastAsia"/>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rFonts w:hint="eastAsia"/>
                <w:sz w:val="24"/>
                <w:highlight w:val="none"/>
              </w:rPr>
              <w:t xml:space="preserve">12</w:t>
            </w:r>
            <w:r>
              <w:rPr>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附加条件</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响应文件</w:t>
            </w:r>
            <w:r>
              <w:rPr>
                <w:rFonts w:hint="eastAsia"/>
                <w:sz w:val="24"/>
                <w:highlight w:val="none"/>
              </w:rPr>
              <w:t xml:space="preserve">未</w:t>
            </w:r>
            <w:r>
              <w:rPr>
                <w:sz w:val="24"/>
                <w:highlight w:val="none"/>
              </w:rPr>
              <w:t xml:space="preserve">含有采购人不能接受的附加条件的；</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rFonts w:hint="eastAsia"/>
                <w:sz w:val="24"/>
                <w:highlight w:val="none"/>
              </w:rPr>
              <w:t xml:space="preserve">13</w:t>
            </w:r>
            <w:r>
              <w:rPr>
                <w:sz w:val="24"/>
                <w:highlight w:val="none"/>
              </w:rPr>
            </w:r>
            <w:r/>
          </w:p>
        </w:tc>
        <w:tc>
          <w:tcPr>
            <w:tcW w:w="1812" w:type="dxa"/>
            <w:vAlign w:val="center"/>
            <w:textDirection w:val="lrTb"/>
            <w:noWrap w:val="false"/>
          </w:tcPr>
          <w:p>
            <w:pPr>
              <w:pStyle w:val="1039"/>
              <w:jc w:val="left"/>
              <w:widowControl/>
              <w:rPr>
                <w:sz w:val="24"/>
                <w:highlight w:val="none"/>
              </w:rPr>
            </w:pPr>
            <w:r>
              <w:rPr>
                <w:rFonts w:hint="eastAsia"/>
                <w:sz w:val="24"/>
                <w:highlight w:val="none"/>
              </w:rPr>
              <w:t xml:space="preserve">最终报价</w:t>
            </w:r>
            <w:r>
              <w:rPr>
                <w:sz w:val="24"/>
                <w:highlight w:val="none"/>
              </w:rPr>
            </w:r>
            <w:r/>
          </w:p>
        </w:tc>
        <w:tc>
          <w:tcPr>
            <w:tcW w:w="6729" w:type="dxa"/>
            <w:vAlign w:val="center"/>
            <w:textDirection w:val="lrTb"/>
            <w:noWrap w:val="false"/>
          </w:tcPr>
          <w:p>
            <w:pPr>
              <w:pStyle w:val="1039"/>
              <w:jc w:val="left"/>
              <w:spacing w:line="360" w:lineRule="auto"/>
              <w:rPr>
                <w:sz w:val="24"/>
                <w:highlight w:val="none"/>
              </w:rPr>
            </w:pPr>
            <w:r>
              <w:rPr>
                <w:rFonts w:hint="eastAsia" w:ascii="宋体" w:hAnsi="宋体"/>
                <w:b/>
                <w:bCs/>
                <w:sz w:val="24"/>
                <w:highlight w:val="none"/>
              </w:rPr>
              <w:t xml:space="preserve">供应商最终报价优惠率未低于首次报价优惠率的；</w:t>
            </w:r>
            <w:r>
              <w:rPr>
                <w:sz w:val="24"/>
                <w:highlight w:val="none"/>
              </w:rPr>
            </w:r>
            <w:r/>
          </w:p>
        </w:tc>
      </w:tr>
      <w:tr>
        <w:trPr>
          <w:trHeight w:val="685"/>
        </w:trPr>
        <w:tc>
          <w:tcPr>
            <w:tcW w:w="402" w:type="dxa"/>
            <w:vAlign w:val="center"/>
            <w:textDirection w:val="lrTb"/>
            <w:noWrap w:val="false"/>
          </w:tcPr>
          <w:p>
            <w:pPr>
              <w:pStyle w:val="1039"/>
              <w:jc w:val="center"/>
              <w:widowControl/>
              <w:rPr>
                <w:sz w:val="24"/>
                <w:highlight w:val="none"/>
              </w:rPr>
            </w:pPr>
            <w:r>
              <w:rPr>
                <w:rFonts w:hint="eastAsia"/>
                <w:sz w:val="24"/>
                <w:highlight w:val="none"/>
              </w:rPr>
              <w:t xml:space="preserve">14</w:t>
            </w:r>
            <w:r>
              <w:rPr>
                <w:sz w:val="24"/>
                <w:highlight w:val="none"/>
              </w:rPr>
            </w:r>
            <w:r/>
          </w:p>
        </w:tc>
        <w:tc>
          <w:tcPr>
            <w:tcW w:w="975" w:type="dxa"/>
            <w:vAlign w:val="center"/>
            <w:textDirection w:val="lrTb"/>
            <w:noWrap w:val="false"/>
          </w:tcPr>
          <w:p>
            <w:pPr>
              <w:pStyle w:val="1039"/>
              <w:jc w:val="left"/>
              <w:widowControl/>
              <w:rPr>
                <w:sz w:val="24"/>
                <w:highlight w:val="none"/>
              </w:rPr>
            </w:pPr>
            <w:r>
              <w:rPr>
                <w:sz w:val="24"/>
                <w:highlight w:val="none"/>
              </w:rPr>
              <w:t xml:space="preserve">其他无效情形</w:t>
            </w:r>
            <w:r>
              <w:rPr>
                <w:sz w:val="24"/>
                <w:highlight w:val="none"/>
              </w:rPr>
            </w:r>
            <w:r/>
          </w:p>
        </w:tc>
        <w:tc>
          <w:tcPr>
            <w:tcW w:w="3621" w:type="dxa"/>
            <w:vAlign w:val="center"/>
            <w:textDirection w:val="lrTb"/>
            <w:noWrap w:val="false"/>
          </w:tcPr>
          <w:p>
            <w:pPr>
              <w:pStyle w:val="1039"/>
              <w:jc w:val="left"/>
              <w:widowControl/>
              <w:rPr>
                <w:sz w:val="24"/>
                <w:highlight w:val="none"/>
              </w:rPr>
            </w:pPr>
            <w:r>
              <w:rPr>
                <w:sz w:val="24"/>
                <w:highlight w:val="none"/>
              </w:rPr>
              <w:t xml:space="preserve">供应商、响应文件</w:t>
            </w:r>
            <w:r>
              <w:rPr>
                <w:rFonts w:hint="eastAsia"/>
                <w:sz w:val="24"/>
                <w:highlight w:val="none"/>
              </w:rPr>
              <w:t xml:space="preserve">不存在</w:t>
            </w:r>
            <w:r>
              <w:rPr>
                <w:sz w:val="24"/>
                <w:highlight w:val="none"/>
              </w:rPr>
              <w:t xml:space="preserve">不符合法律、法规和磋商文件规定的其他无效情形。</w:t>
            </w:r>
            <w:r>
              <w:rPr>
                <w:sz w:val="24"/>
                <w:highlight w:val="none"/>
              </w:rPr>
            </w:r>
            <w:r/>
          </w:p>
        </w:tc>
      </w:tr>
    </w:tbl>
    <w:p>
      <w:pPr>
        <w:pStyle w:val="1039"/>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1039"/>
        <w:numPr>
          <w:ilvl w:val="1"/>
          <w:numId w:val="11"/>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磋商小组所有成员应当集中与单一供应商分别进行磋商，并给予所有参加磋商的供应商平等的磋商机会。</w:t>
      </w:r>
      <w:r>
        <w:rPr>
          <w:rFonts w:ascii="Times New Roman" w:hAnsi="Times New Roman" w:eastAsia="宋体" w:cs="Times New Roman"/>
          <w:sz w:val="24"/>
          <w:highlight w:val="none"/>
        </w:rPr>
      </w:r>
      <w:r/>
    </w:p>
    <w:p>
      <w:pPr>
        <w:pStyle w:val="1039"/>
        <w:numPr>
          <w:ilvl w:val="1"/>
          <w:numId w:val="11"/>
        </w:numPr>
        <w:ind w:left="1077" w:hanging="720"/>
        <w:spacing w:line="360" w:lineRule="auto"/>
        <w:tabs>
          <w:tab w:val="left" w:pos="1080" w:leader="none"/>
          <w:tab w:val="left" w:pos="1589" w:leader="none"/>
          <w:tab w:val="left" w:pos="1872"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启动异常低价投标审查的情形和具体要求，包括：</w:t>
      </w:r>
      <w:r>
        <w:rPr>
          <w:rFonts w:hint="eastAsia" w:ascii="Times New Roman" w:hAnsi="Times New Roman" w:eastAsia="宋体" w:cs="Times New Roman"/>
          <w:sz w:val="24"/>
          <w:highlight w:val="none"/>
        </w:rPr>
      </w:r>
      <w:r/>
    </w:p>
    <w:p>
      <w:pPr>
        <w:pStyle w:val="1039"/>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2.2.1评审过程中出现下列情形之一的，</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应当启动异常低价投标审查程序：1）投标报价低于采购项目预算50% 的，即投标报价&lt;采购项目预算×50% </w:t>
      </w:r>
      <w:r>
        <w:rPr>
          <w:rFonts w:hint="eastAsia" w:ascii="Times New Roman" w:hAnsi="Times New Roman" w:eastAsia="宋体" w:cs="Times New Roman"/>
          <w:sz w:val="24"/>
          <w:highlight w:val="none"/>
        </w:rPr>
      </w:r>
      <w:r/>
    </w:p>
    <w:p>
      <w:pPr>
        <w:pStyle w:val="1039"/>
        <w:numPr>
          <w:ilvl w:val="0"/>
          <w:numId w:val="0"/>
        </w:numPr>
        <w:ind w:firstLine="720"/>
        <w:spacing w:line="360" w:lineRule="auto"/>
        <w:tabs>
          <w:tab w:val="left" w:pos="1080" w:leader="none"/>
          <w:tab w:val="left" w:pos="1872"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2）投标报价低于采购项目最高限价 45% 的，即投标报价&lt;采购项目最高限价×45% </w:t>
      </w:r>
      <w:r>
        <w:rPr>
          <w:rFonts w:hint="eastAsia" w:ascii="Times New Roman" w:hAnsi="Times New Roman" w:eastAsia="宋体" w:cs="Times New Roman"/>
          <w:sz w:val="24"/>
          <w:highlight w:val="none"/>
        </w:rPr>
      </w:r>
      <w:r/>
    </w:p>
    <w:p>
      <w:pPr>
        <w:pStyle w:val="1039"/>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认定的供应商报价过低、有可能影响</w:t>
      </w:r>
      <w:r>
        <w:rPr>
          <w:rFonts w:hint="eastAsia" w:ascii="Times New Roman" w:hAnsi="Times New Roman" w:eastAsia="宋体" w:cs="Times New Roman"/>
          <w:sz w:val="24"/>
          <w:highlight w:val="none"/>
          <w:lang w:val="en-US" w:eastAsia="zh-CN"/>
        </w:rPr>
        <w:t xml:space="preserve">服务</w:t>
      </w:r>
      <w:r>
        <w:rPr>
          <w:rFonts w:hint="eastAsia" w:ascii="Times New Roman" w:hAnsi="Times New Roman" w:eastAsia="宋体" w:cs="Times New Roman"/>
          <w:sz w:val="24"/>
          <w:highlight w:val="none"/>
        </w:rPr>
        <w:t xml:space="preserve">质量或者不能诚信履约的其他情形。</w:t>
      </w:r>
      <w:r>
        <w:rPr>
          <w:rFonts w:hint="eastAsia" w:ascii="Times New Roman" w:hAnsi="Times New Roman" w:eastAsia="宋体" w:cs="Times New Roman"/>
          <w:sz w:val="24"/>
          <w:highlight w:val="none"/>
        </w:rPr>
      </w:r>
      <w:r/>
    </w:p>
    <w:p>
      <w:pPr>
        <w:pStyle w:val="1039"/>
        <w:numPr>
          <w:ilvl w:val="0"/>
          <w:numId w:val="0"/>
        </w:numPr>
        <w:ind w:left="357" w:firstLine="480"/>
        <w:spacing w:line="360" w:lineRule="auto"/>
        <w:tabs>
          <w:tab w:val="left" w:pos="1080" w:leader="none"/>
          <w:tab w:val="left" w:pos="1872"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2.2.2启动异常低价投标审查后，</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应当要求相关供应商在评标现场合理的时间内，提供项目具体成本测算等与报价合理性相关的书面说明及相关证明材料，对投标价格作出解释，由</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结合同类</w:t>
      </w:r>
      <w:r>
        <w:rPr>
          <w:rFonts w:hint="eastAsia" w:ascii="Times New Roman" w:hAnsi="Times New Roman" w:eastAsia="宋体" w:cs="Times New Roman"/>
          <w:sz w:val="24"/>
          <w:highlight w:val="none"/>
          <w:lang w:val="en-US" w:eastAsia="zh-CN"/>
        </w:rPr>
        <w:t xml:space="preserve">服务</w:t>
      </w:r>
      <w:r>
        <w:rPr>
          <w:rFonts w:hint="eastAsia" w:ascii="Times New Roman" w:hAnsi="Times New Roman" w:eastAsia="宋体" w:cs="Times New Roman"/>
          <w:sz w:val="24"/>
          <w:highlight w:val="none"/>
        </w:rPr>
        <w:t xml:space="preserve">在该行业当地薪资水平等情况，依据专业经验对供应商报价合理性进行判断。投标供应商不提供书面说明、证明材料，或者提供的书面说明、证明材料不能证明其报价合理性的，</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应当将其作为无效响应处理。审查相关情况应当在评审报告中进行记录。</w:t>
      </w:r>
      <w:r>
        <w:rPr>
          <w:rFonts w:hint="eastAsia" w:ascii="Times New Roman" w:hAnsi="Times New Roman" w:eastAsia="宋体" w:cs="Times New Roman"/>
          <w:sz w:val="24"/>
          <w:highlight w:val="none"/>
        </w:rPr>
      </w:r>
      <w:r/>
    </w:p>
    <w:p>
      <w:pPr>
        <w:pStyle w:val="1039"/>
        <w:numPr>
          <w:ilvl w:val="0"/>
          <w:numId w:val="0"/>
        </w:numPr>
        <w:ind w:left="357" w:firstLine="480"/>
        <w:spacing w:line="360" w:lineRule="auto"/>
        <w:tabs>
          <w:tab w:val="left" w:pos="1080"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2.2.3出现采购文件规定的异常低价情形，</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Times New Roman" w:hAnsi="Times New Roman" w:eastAsia="宋体" w:cs="Times New Roman"/>
          <w:sz w:val="24"/>
          <w:highlight w:val="none"/>
          <w:lang w:eastAsia="zh-CN"/>
        </w:rPr>
        <w:t xml:space="preserve">磋商小组</w:t>
      </w:r>
      <w:r>
        <w:rPr>
          <w:rFonts w:hint="eastAsia" w:ascii="Times New Roman" w:hAnsi="Times New Roman" w:eastAsia="宋体" w:cs="Times New Roman"/>
          <w:sz w:val="24"/>
          <w:highlight w:val="none"/>
        </w:rPr>
        <w:t xml:space="preserve">的法律责任。</w:t>
      </w:r>
      <w:r>
        <w:rPr>
          <w:rFonts w:ascii="Times New Roman" w:hAnsi="Times New Roman" w:eastAsia="宋体" w:cs="Times New Roman"/>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eastAsia="宋体" w:cs="Times New Roman"/>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对磋商文件作出的实质性变动是磋商文件的有效组成部分，磋商小组应当及时</w:t>
      </w:r>
      <w:r>
        <w:rPr>
          <w:rFonts w:hint="eastAsia"/>
          <w:sz w:val="24"/>
          <w:highlight w:val="none"/>
        </w:rPr>
        <w:t xml:space="preserve">通过“苏采云”政府采购一体化平台系统</w:t>
      </w:r>
      <w:r>
        <w:rPr>
          <w:sz w:val="24"/>
          <w:highlight w:val="none"/>
        </w:rPr>
        <w:t xml:space="preserve">以书面形式同时通知所有参加磋商的供应商。</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响应文件的澄清、说明或者更正</w:t>
      </w:r>
      <w:r>
        <w:rPr>
          <w:rFonts w:hint="eastAsia"/>
          <w:sz w:val="24"/>
          <w:highlight w:val="none"/>
        </w:rPr>
        <w:t xml:space="preserve">：</w:t>
      </w:r>
      <w:r>
        <w:rPr>
          <w:sz w:val="24"/>
          <w:highlight w:val="none"/>
        </w:rPr>
      </w:r>
      <w:r/>
    </w:p>
    <w:p>
      <w:pPr>
        <w:pStyle w:val="1039"/>
        <w:ind w:left="1080"/>
        <w:spacing w:line="360" w:lineRule="auto"/>
        <w:tabs>
          <w:tab w:val="left" w:pos="19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磋商小组</w:t>
      </w:r>
      <w:r>
        <w:rPr>
          <w:sz w:val="24"/>
          <w:highlight w:val="none"/>
        </w:rPr>
        <w:t xml:space="preserve">会将</w:t>
      </w:r>
      <w:r>
        <w:rPr>
          <w:rFonts w:hint="eastAsia"/>
          <w:sz w:val="24"/>
          <w:highlight w:val="none"/>
        </w:rPr>
        <w:t xml:space="preserve">通过“苏采云”政府采购一体化平台系统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rFonts w:hint="eastAsia"/>
          <w:b/>
          <w:sz w:val="24"/>
          <w:highlight w:val="none"/>
        </w:rPr>
      </w:pPr>
      <w:r>
        <w:rPr>
          <w:rFonts w:hint="eastAsia"/>
          <w:b/>
          <w:sz w:val="24"/>
          <w:highlight w:val="none"/>
        </w:rPr>
        <w:t xml:space="preserve">本项目响应文件的投标报价作为首次报价，在磋商结束后，磋商小组将要求所有实质性响应的供应商在规定时间内通过“苏采云”系统提交最终报价。</w:t>
      </w:r>
      <w:r>
        <w:rPr>
          <w:rFonts w:hint="eastAsia" w:ascii="宋体" w:hAnsi="宋体"/>
          <w:b/>
          <w:bCs/>
          <w:sz w:val="24"/>
          <w:highlight w:val="none"/>
        </w:rPr>
        <w:t xml:space="preserve">供应商最终报价优惠率</w:t>
      </w:r>
      <w:r>
        <w:rPr>
          <w:rFonts w:hint="eastAsia" w:ascii="宋体" w:hAnsi="宋体"/>
          <w:b/>
          <w:bCs/>
          <w:sz w:val="24"/>
          <w:highlight w:val="none"/>
          <w:lang w:val="en-US" w:eastAsia="zh-CN"/>
        </w:rPr>
        <w:t xml:space="preserve">不得</w:t>
      </w:r>
      <w:r>
        <w:rPr>
          <w:rFonts w:hint="eastAsia" w:ascii="宋体" w:hAnsi="宋体"/>
          <w:b/>
          <w:bCs/>
          <w:sz w:val="24"/>
          <w:highlight w:val="none"/>
        </w:rPr>
        <w:t xml:space="preserve">低于首次报价优惠率</w:t>
      </w:r>
      <w:r>
        <w:rPr>
          <w:rFonts w:hint="eastAsia"/>
          <w:b/>
          <w:sz w:val="24"/>
          <w:highlight w:val="none"/>
        </w:rPr>
        <w:t xml:space="preserve">。</w:t>
      </w:r>
      <w:r>
        <w:rPr>
          <w:rFonts w:hint="eastAsia"/>
          <w:b/>
          <w:sz w:val="24"/>
          <w:highlight w:val="none"/>
        </w:rPr>
      </w:r>
      <w:r/>
    </w:p>
    <w:p>
      <w:pPr>
        <w:pStyle w:val="1039"/>
        <w:numPr>
          <w:ilvl w:val="1"/>
          <w:numId w:val="10"/>
        </w:numPr>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成交人的最终报价即为成交价</w:t>
      </w:r>
      <w:r>
        <w:rPr>
          <w:rFonts w:hint="eastAsia" w:ascii="宋体" w:hAnsi="宋体" w:cs="宋体"/>
          <w:b/>
          <w:sz w:val="24"/>
          <w:highlight w:val="none"/>
        </w:rPr>
        <w:t xml:space="preserve">。</w:t>
      </w:r>
      <w:r>
        <w:rPr>
          <w:b/>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1039"/>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1039"/>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竞争性磋商文件对于报价修正是否另有规定：无，按下述3.2.2-3.2.5项规定修正。</w:t>
      </w:r>
      <w:r>
        <w:rPr>
          <w:sz w:val="24"/>
          <w:highlight w:val="none"/>
        </w:rPr>
      </w:r>
      <w:r/>
    </w:p>
    <w:p>
      <w:pPr>
        <w:pStyle w:val="1039"/>
        <w:numPr>
          <w:ilvl w:val="2"/>
          <w:numId w:val="10"/>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1039"/>
        <w:numPr>
          <w:ilvl w:val="2"/>
          <w:numId w:val="10"/>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单价金额小数点或者百分比有明显错位的，以最终报价一览表的总价为准，并修改单价；</w:t>
      </w:r>
      <w:r>
        <w:rPr>
          <w:sz w:val="24"/>
          <w:highlight w:val="none"/>
        </w:rPr>
      </w:r>
      <w:r/>
    </w:p>
    <w:p>
      <w:pPr>
        <w:pStyle w:val="1039"/>
        <w:numPr>
          <w:ilvl w:val="2"/>
          <w:numId w:val="10"/>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1039"/>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1039"/>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落实政府采购政策的价格调整：</w:t>
      </w:r>
      <w:r>
        <w:rPr>
          <w:rFonts w:hint="eastAsia"/>
          <w:sz w:val="24"/>
          <w:highlight w:val="none"/>
        </w:rPr>
        <w:t xml:space="preserve">/</w:t>
      </w:r>
      <w:r>
        <w:rPr>
          <w:sz w:val="24"/>
          <w:highlight w:val="none"/>
        </w:rPr>
        <w:t xml:space="preserve">。</w:t>
      </w:r>
      <w:r>
        <w:rPr>
          <w:sz w:val="24"/>
          <w:highlight w:val="none"/>
        </w:rPr>
      </w:r>
      <w:r/>
    </w:p>
    <w:p>
      <w:pPr>
        <w:pStyle w:val="1039"/>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如供应商的最终报价超过竞争性磋商文件中规定的项目预算金额或者</w:t>
      </w:r>
      <w:r>
        <w:rPr>
          <w:rFonts w:hint="eastAsia"/>
          <w:sz w:val="24"/>
          <w:highlight w:val="none"/>
        </w:rPr>
        <w:t xml:space="preserve">控制费率</w:t>
      </w:r>
      <w:r>
        <w:rPr>
          <w:sz w:val="24"/>
          <w:highlight w:val="none"/>
        </w:rPr>
        <w:t xml:space="preserve">；</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1039"/>
        <w:numPr>
          <w:ilvl w:val="1"/>
          <w:numId w:val="10"/>
        </w:numPr>
        <w:ind w:left="1077" w:hanging="720"/>
        <w:spacing w:line="360" w:lineRule="auto"/>
        <w:tabs>
          <w:tab w:val="left" w:pos="1080" w:leader="none"/>
          <w:tab w:val="left" w:pos="1589" w:leader="none"/>
        </w:tabs>
        <w:rPr>
          <w:sz w:val="24"/>
          <w:highlight w:val="none"/>
        </w:rPr>
      </w:pPr>
      <w:r>
        <w:rPr>
          <w:rFonts w:hint="eastAsia" w:ascii="宋体" w:hAnsi="宋体"/>
          <w:b/>
          <w:bCs/>
          <w:sz w:val="24"/>
          <w:highlight w:val="none"/>
        </w:rPr>
        <w:t xml:space="preserve">供应商最终报价优惠率低于首次报价优惠率的</w:t>
      </w:r>
      <w:r>
        <w:rPr>
          <w:sz w:val="24"/>
          <w:highlight w:val="none"/>
        </w:rPr>
        <w:t xml:space="preserve">。</w:t>
      </w:r>
      <w:r>
        <w:rPr>
          <w:sz w:val="24"/>
          <w:highlight w:val="none"/>
        </w:rPr>
      </w:r>
      <w:r/>
    </w:p>
    <w:p>
      <w:pPr>
        <w:pStyle w:val="1039"/>
        <w:numPr>
          <w:ilvl w:val="0"/>
          <w:numId w:val="10"/>
        </w:numPr>
        <w:spacing w:line="360" w:lineRule="auto"/>
        <w:tabs>
          <w:tab w:val="left" w:pos="360" w:leader="none"/>
          <w:tab w:val="left" w:pos="900" w:leader="none"/>
        </w:tabs>
        <w:rPr>
          <w:sz w:val="24"/>
          <w:highlight w:val="none"/>
        </w:rPr>
        <w:outlineLvl w:val="1"/>
      </w:pPr>
      <w:r/>
      <w:bookmarkEnd w:id="622"/>
      <w:r/>
      <w:bookmarkEnd w:id="623"/>
      <w:r>
        <w:rPr>
          <w:sz w:val="24"/>
          <w:highlight w:val="none"/>
        </w:rPr>
        <w:t xml:space="preserve">评审方法和评审标准</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1039"/>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确定</w:t>
      </w:r>
      <w:bookmarkStart w:id="639" w:name="_Toc265228384"/>
      <w:r/>
      <w:bookmarkStart w:id="640" w:name="_Toc164229241"/>
      <w:r/>
      <w:bookmarkStart w:id="641" w:name="_Ref467307010"/>
      <w:r/>
      <w:bookmarkStart w:id="642" w:name="_Toc151190173"/>
      <w:r/>
      <w:bookmarkStart w:id="643" w:name="_Toc226965819"/>
      <w:r/>
      <w:bookmarkStart w:id="644" w:name="_Toc127151747"/>
      <w:r/>
      <w:bookmarkStart w:id="645" w:name="_Toc305158814"/>
      <w:r/>
      <w:bookmarkStart w:id="646" w:name="_Toc164229387"/>
      <w:r/>
      <w:bookmarkStart w:id="647" w:name="_Toc127161460"/>
      <w:r/>
      <w:bookmarkStart w:id="648" w:name="_Toc150774751"/>
      <w:r/>
      <w:bookmarkStart w:id="649" w:name="_Toc150480784"/>
      <w:r/>
      <w:bookmarkStart w:id="650" w:name="_Toc151193788"/>
      <w:r/>
      <w:bookmarkStart w:id="651" w:name="_Toc164608815"/>
      <w:r/>
      <w:bookmarkStart w:id="652" w:name="_Toc150774646"/>
      <w:r/>
      <w:bookmarkStart w:id="653" w:name="_Toc151193716"/>
      <w:r/>
      <w:bookmarkStart w:id="654" w:name="_Toc226965736"/>
      <w:r/>
      <w:bookmarkStart w:id="655" w:name="_Toc150509297"/>
      <w:r/>
      <w:bookmarkStart w:id="656" w:name="_Toc226309790"/>
      <w:r/>
      <w:bookmarkStart w:id="657" w:name="_Toc226337242"/>
      <w:r/>
      <w:bookmarkStart w:id="658" w:name="_Toc164608660"/>
      <w:r/>
      <w:bookmarkStart w:id="659" w:name="_Toc151193860"/>
      <w:r/>
      <w:bookmarkStart w:id="660" w:name="_Toc149720839"/>
      <w:r/>
      <w:bookmarkStart w:id="661" w:name="_Toc195842911"/>
      <w:r/>
      <w:bookmarkStart w:id="662" w:name="_Toc305158888"/>
      <w:r/>
      <w:bookmarkStart w:id="663" w:name="_Toc151193644"/>
      <w:r/>
      <w:bookmarkStart w:id="664" w:name="_Toc151193934"/>
      <w:r/>
      <w:bookmarkStart w:id="665" w:name="_Toc520356170"/>
      <w:r/>
      <w:bookmarkStart w:id="666" w:name="_Toc142311048"/>
      <w:r/>
      <w:bookmarkStart w:id="667" w:name="_Toc264969236"/>
      <w:r/>
      <w:bookmarkStart w:id="668" w:name="_Toc164351640"/>
      <w:r/>
      <w:bookmarkStart w:id="669" w:name="_Toc127151546"/>
      <w:r>
        <w:rPr>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1039"/>
        <w:numPr>
          <w:ilvl w:val="1"/>
          <w:numId w:val="10"/>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1039"/>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1039"/>
        <w:numPr>
          <w:ilvl w:val="1"/>
          <w:numId w:val="10"/>
        </w:numPr>
        <w:ind w:left="1077" w:hanging="720"/>
        <w:jc w:val="left"/>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sz w:val="24"/>
          <w:highlight w:val="none"/>
        </w:rPr>
      </w:r>
      <w:r/>
    </w:p>
    <w:p>
      <w:pPr>
        <w:pStyle w:val="1039"/>
        <w:ind w:left="357"/>
        <w:jc w:val="left"/>
        <w:spacing w:line="360" w:lineRule="auto"/>
        <w:widowControl/>
        <w:tabs>
          <w:tab w:val="left" w:pos="1080" w:leader="none"/>
          <w:tab w:val="left" w:pos="1872" w:leader="none"/>
        </w:tabs>
        <w:rPr>
          <w:b/>
          <w:sz w:val="24"/>
          <w:highlight w:val="none"/>
        </w:rPr>
      </w:pPr>
      <w:r>
        <w:rPr>
          <w:b/>
          <w:sz w:val="24"/>
          <w:highlight w:val="none"/>
        </w:rPr>
        <w:br w:type="page" w:clear="all"/>
      </w:r>
      <w:r>
        <w:rPr>
          <w:b/>
          <w:sz w:val="24"/>
          <w:highlight w:val="none"/>
        </w:rPr>
      </w:r>
      <w:r/>
    </w:p>
    <w:p>
      <w:pPr>
        <w:pStyle w:val="1041"/>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p>
      <w:pPr>
        <w:pStyle w:val="1039"/>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tbl>
      <w:tblPr>
        <w:tblW w:w="83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351"/>
        <w:gridCol w:w="844"/>
        <w:gridCol w:w="3766"/>
        <w:gridCol w:w="1636"/>
      </w:tblGrid>
      <w:tr>
        <w:trPr>
          <w:trHeight w:val="446"/>
        </w:trPr>
        <w:tc>
          <w:tcPr>
            <w:tcW w:w="771" w:type="dxa"/>
            <w:vAlign w:val="center"/>
            <w:textDirection w:val="lrTb"/>
            <w:noWrap w:val="false"/>
          </w:tcPr>
          <w:p>
            <w:pPr>
              <w:pStyle w:val="1039"/>
              <w:ind w:firstLine="28"/>
              <w:jc w:val="center"/>
              <w:spacing w:line="360" w:lineRule="auto"/>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1351" w:type="dxa"/>
            <w:vAlign w:val="center"/>
            <w:textDirection w:val="lrTb"/>
            <w:noWrap w:val="false"/>
          </w:tcPr>
          <w:p>
            <w:pPr>
              <w:pStyle w:val="1039"/>
              <w:ind w:firstLine="28"/>
              <w:jc w:val="center"/>
              <w:spacing w:line="360" w:lineRule="auto"/>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844" w:type="dxa"/>
            <w:vAlign w:val="center"/>
            <w:textDirection w:val="lrTb"/>
            <w:noWrap w:val="false"/>
          </w:tcPr>
          <w:p>
            <w:pPr>
              <w:pStyle w:val="1039"/>
              <w:ind w:firstLine="28"/>
              <w:jc w:val="center"/>
              <w:spacing w:line="360" w:lineRule="auto"/>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3766" w:type="dxa"/>
            <w:vAlign w:val="center"/>
            <w:textDirection w:val="lrTb"/>
            <w:noWrap w:val="false"/>
          </w:tcPr>
          <w:p>
            <w:pPr>
              <w:pStyle w:val="1039"/>
              <w:ind w:firstLine="28"/>
              <w:jc w:val="center"/>
              <w:spacing w:line="360" w:lineRule="auto"/>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636" w:type="dxa"/>
            <w:vAlign w:val="center"/>
            <w:textDirection w:val="lrTb"/>
            <w:noWrap w:val="false"/>
          </w:tcPr>
          <w:p>
            <w:pPr>
              <w:pStyle w:val="1284"/>
              <w:spacing w:before="0" w:after="0"/>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2632"/>
        </w:trPr>
        <w:tc>
          <w:tcPr>
            <w:tcW w:w="771" w:type="dxa"/>
            <w:vAlign w:val="center"/>
            <w:textDirection w:val="lrTb"/>
            <w:noWrap w:val="false"/>
          </w:tcPr>
          <w:p>
            <w:pPr>
              <w:pStyle w:val="1039"/>
              <w:ind w:firstLine="28"/>
              <w:jc w:val="center"/>
              <w:spacing w:line="360" w:lineRule="auto"/>
              <w:rPr>
                <w:rFonts w:hint="eastAsia" w:ascii="宋体" w:hAnsi="宋体" w:cs="宋体"/>
                <w:b/>
                <w:sz w:val="24"/>
                <w:highlight w:val="none"/>
              </w:rPr>
            </w:pPr>
            <w:r>
              <w:rPr>
                <w:rFonts w:hint="eastAsia" w:ascii="宋体" w:hAnsi="宋体" w:cs="宋体"/>
                <w:b/>
                <w:sz w:val="24"/>
                <w:highlight w:val="none"/>
              </w:rPr>
              <w:t xml:space="preserve">1</w:t>
            </w:r>
            <w:r>
              <w:rPr>
                <w:rFonts w:hint="eastAsia" w:ascii="宋体" w:hAnsi="宋体" w:cs="宋体"/>
                <w:b/>
                <w:sz w:val="24"/>
                <w:highlight w:val="none"/>
              </w:rPr>
            </w:r>
            <w:r/>
          </w:p>
        </w:tc>
        <w:tc>
          <w:tcPr>
            <w:tcW w:w="1351"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r>
            <w:r/>
          </w:p>
        </w:tc>
        <w:tc>
          <w:tcPr>
            <w:tcW w:w="3766" w:type="dxa"/>
            <w:vAlign w:val="center"/>
            <w:textDirection w:val="lrTb"/>
            <w:noWrap w:val="false"/>
          </w:tcPr>
          <w:p>
            <w:pPr>
              <w:pStyle w:val="1039"/>
              <w:spacing w:line="360" w:lineRule="auto"/>
              <w:rPr>
                <w:rFonts w:hint="eastAsia" w:ascii="宋体" w:hAnsi="宋体" w:cs="宋体"/>
                <w:sz w:val="24"/>
                <w:highlight w:val="none"/>
              </w:rPr>
            </w:pPr>
            <w:r>
              <w:rPr>
                <w:rFonts w:hint="eastAsia" w:ascii="宋体" w:hAnsi="宋体" w:cs="宋体"/>
                <w:sz w:val="24"/>
                <w:highlight w:val="none"/>
              </w:rPr>
              <w:t xml:space="preserve">满足磋商文件要求且优惠率最高的报价为评标基准价，其价格分为满分。评标基准价=1-最高优惠率；其他供应商的价格分统一按照下列公式计算：</w:t>
            </w:r>
            <w:r>
              <w:rPr>
                <w:rFonts w:hint="eastAsia" w:ascii="宋体" w:hAnsi="宋体" w:cs="宋体"/>
                <w:sz w:val="24"/>
                <w:highlight w:val="none"/>
              </w:rPr>
            </w:r>
            <w:r/>
          </w:p>
          <w:p>
            <w:pPr>
              <w:pStyle w:val="1039"/>
              <w:spacing w:line="360" w:lineRule="auto"/>
              <w:rPr>
                <w:rFonts w:hint="eastAsia" w:ascii="宋体" w:hAnsi="宋体" w:cs="宋体"/>
                <w:sz w:val="24"/>
                <w:highlight w:val="none"/>
              </w:rPr>
            </w:pPr>
            <w:r>
              <w:rPr>
                <w:rFonts w:hint="eastAsia" w:ascii="宋体" w:hAnsi="宋体" w:cs="宋体"/>
                <w:sz w:val="24"/>
                <w:highlight w:val="none"/>
              </w:rPr>
              <w:t xml:space="preserve">价格分得分＝（评标基准价/（1-报价优惠率））×分值。</w:t>
            </w: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46"/>
        </w:trPr>
        <w:tc>
          <w:tcPr>
            <w:tcW w:w="771"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351"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主观分</w:t>
            </w:r>
            <w:r>
              <w:rPr>
                <w:rFonts w:hint="eastAsia"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55</w:t>
            </w:r>
            <w:r>
              <w:rPr>
                <w:rFonts w:ascii="宋体" w:hAnsi="宋体" w:eastAsia="宋体" w:cs="宋体"/>
                <w:sz w:val="24"/>
                <w:highlight w:val="none"/>
                <w:lang w:val="en-US" w:eastAsia="zh-CN"/>
              </w:rPr>
            </w:r>
            <w:r/>
          </w:p>
        </w:tc>
        <w:tc>
          <w:tcPr>
            <w:tcW w:w="3766" w:type="dxa"/>
            <w:vAlign w:val="center"/>
            <w:textDirection w:val="lrTb"/>
            <w:noWrap w:val="false"/>
          </w:tcPr>
          <w:p>
            <w:pPr>
              <w:pStyle w:val="1039"/>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3832"/>
        </w:trPr>
        <w:tc>
          <w:tcPr>
            <w:tcW w:w="771"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r>
            <w:r/>
          </w:p>
        </w:tc>
        <w:tc>
          <w:tcPr>
            <w:tcW w:w="1351"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sz w:val="24"/>
                <w:highlight w:val="none"/>
              </w:rPr>
              <w:t xml:space="preserve">供应商组织构架、岗位职责及制度建设</w:t>
            </w:r>
            <w:r>
              <w:rPr>
                <w:rFonts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3766" w:type="dxa"/>
            <w:vAlign w:val="center"/>
            <w:textDirection w:val="lrTb"/>
            <w:noWrap w:val="false"/>
          </w:tcPr>
          <w:p>
            <w:pPr>
              <w:pStyle w:val="1039"/>
              <w:ind w:left="-2" w:hanging="88"/>
              <w:spacing w:line="276" w:lineRule="auto"/>
              <w:rPr>
                <w:sz w:val="24"/>
                <w:highlight w:val="none"/>
              </w:rPr>
            </w:pPr>
            <w:r>
              <w:rPr>
                <w:rFonts w:hint="eastAsia"/>
                <w:sz w:val="24"/>
                <w:highlight w:val="none"/>
              </w:rPr>
              <w:t xml:space="preserve">根据供应商①组织</w:t>
            </w:r>
            <w:r>
              <w:rPr>
                <w:rFonts w:hint="eastAsia" w:ascii="宋体" w:hAnsi="宋体"/>
                <w:sz w:val="24"/>
                <w:highlight w:val="none"/>
              </w:rPr>
              <w:t xml:space="preserve">构架</w:t>
            </w:r>
            <w:r>
              <w:rPr>
                <w:rFonts w:ascii="宋体" w:hAnsi="宋体"/>
                <w:sz w:val="24"/>
                <w:highlight w:val="none"/>
              </w:rPr>
              <w:t xml:space="preserve">②</w:t>
            </w:r>
            <w:r>
              <w:rPr>
                <w:rFonts w:hint="eastAsia" w:ascii="宋体" w:hAnsi="宋体"/>
                <w:sz w:val="24"/>
                <w:highlight w:val="none"/>
              </w:rPr>
              <w:t xml:space="preserve">岗位</w:t>
            </w:r>
            <w:r>
              <w:rPr>
                <w:rFonts w:hint="eastAsia"/>
                <w:sz w:val="24"/>
                <w:highlight w:val="none"/>
              </w:rPr>
              <w:t xml:space="preserve">职责及工作要求③制度建设内容（包含但不限于索票索证制度、食品安全相关制度、内控制度等）</w:t>
            </w:r>
            <w:r>
              <w:rPr>
                <w:sz w:val="24"/>
                <w:highlight w:val="none"/>
              </w:rPr>
            </w:r>
            <w:r/>
          </w:p>
          <w:p>
            <w:pPr>
              <w:pStyle w:val="1039"/>
              <w:spacing w:line="360" w:lineRule="auto"/>
              <w:rPr>
                <w:rFonts w:hint="eastAsia" w:ascii="宋体" w:hAnsi="宋体" w:cs="宋体"/>
                <w:sz w:val="24"/>
                <w:highlight w:val="none"/>
              </w:rPr>
            </w:pPr>
            <w:r>
              <w:rPr>
                <w:rFonts w:hint="eastAsia" w:ascii="宋体" w:hAnsi="宋体" w:cs="宋体"/>
                <w:color w:val="000000"/>
                <w:sz w:val="24"/>
                <w:highlight w:val="none"/>
              </w:rPr>
              <w:t xml:space="preserve">上述评分项内容齐全且无缺陷（缺陷是指：内容所阐述的项目信息与本项目实际信息不一致、内容涉及的规范或标准错误、套用其他项目内容、内容与本项目无关、内容不利于项目实施、内容描述前后不一致、内容层次不清，无具体详细的阐述的任意一种情形）</w:t>
            </w:r>
            <w:r>
              <w:rPr>
                <w:rFonts w:hint="eastAsia" w:ascii="宋体" w:hAnsi="宋体" w:cs="宋体"/>
                <w:color w:val="000000"/>
                <w:sz w:val="24"/>
                <w:highlight w:val="none"/>
              </w:rPr>
              <w:t xml:space="preserve">的得9分，每缺少一项内容扣3分，扣完为止；每存在一处缺陷扣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分，扣完为止。未提供不得分。</w:t>
            </w: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669"/>
        </w:trPr>
        <w:tc>
          <w:tcPr>
            <w:tcW w:w="771"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ascii="宋体" w:hAnsi="宋体" w:cs="宋体"/>
                <w:sz w:val="24"/>
                <w:highlight w:val="none"/>
              </w:rPr>
              <w:t xml:space="preserve">2.2</w:t>
            </w:r>
            <w:r>
              <w:rPr>
                <w:rFonts w:ascii="宋体" w:hAnsi="宋体" w:cs="宋体"/>
                <w:sz w:val="24"/>
                <w:highlight w:val="none"/>
              </w:rPr>
            </w:r>
            <w:r/>
          </w:p>
        </w:tc>
        <w:tc>
          <w:tcPr>
            <w:tcW w:w="1351"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sz w:val="24"/>
                <w:highlight w:val="none"/>
              </w:rPr>
              <w:t xml:space="preserve">食材配送方案</w:t>
            </w:r>
            <w:r>
              <w:rPr>
                <w:rFonts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15</w:t>
            </w:r>
            <w:r>
              <w:rPr>
                <w:rFonts w:ascii="宋体" w:hAnsi="宋体" w:eastAsia="宋体" w:cs="宋体"/>
                <w:sz w:val="24"/>
                <w:highlight w:val="none"/>
                <w:lang w:val="en-US" w:eastAsia="zh-CN"/>
              </w:rPr>
            </w:r>
            <w:r/>
          </w:p>
        </w:tc>
        <w:tc>
          <w:tcPr>
            <w:tcW w:w="3766" w:type="dxa"/>
            <w:vAlign w:val="center"/>
            <w:textDirection w:val="lrTb"/>
            <w:noWrap w:val="false"/>
          </w:tcPr>
          <w:p>
            <w:pPr>
              <w:pStyle w:val="1039"/>
              <w:spacing w:line="276" w:lineRule="auto"/>
              <w:rPr>
                <w:sz w:val="24"/>
                <w:highlight w:val="none"/>
              </w:rPr>
            </w:pPr>
            <w:r>
              <w:rPr>
                <w:rFonts w:hint="eastAsia"/>
                <w:sz w:val="24"/>
                <w:highlight w:val="none"/>
              </w:rPr>
              <w:t xml:space="preserve">提供食材配送方案，①食材配送服务进</w:t>
            </w:r>
            <w:r>
              <w:rPr>
                <w:rFonts w:hint="eastAsia" w:ascii="宋体" w:hAnsi="宋体"/>
                <w:sz w:val="24"/>
                <w:highlight w:val="none"/>
              </w:rPr>
              <w:t xml:space="preserve">度</w:t>
            </w:r>
            <w:r>
              <w:rPr>
                <w:rFonts w:ascii="宋体" w:hAnsi="宋体"/>
                <w:sz w:val="24"/>
                <w:highlight w:val="none"/>
              </w:rPr>
              <w:t xml:space="preserve">②</w:t>
            </w:r>
            <w:r>
              <w:rPr>
                <w:rFonts w:hint="eastAsia" w:ascii="宋体" w:hAnsi="宋体"/>
                <w:sz w:val="24"/>
                <w:highlight w:val="none"/>
              </w:rPr>
              <w:t xml:space="preserve">食</w:t>
            </w:r>
            <w:r>
              <w:rPr>
                <w:rFonts w:hint="eastAsia"/>
                <w:sz w:val="24"/>
                <w:highlight w:val="none"/>
              </w:rPr>
              <w:t xml:space="preserve">材配送方案（包含但不限于配送服务流程、配送线路、配送保障</w:t>
            </w:r>
            <w:r>
              <w:rPr>
                <w:rFonts w:hint="eastAsia"/>
                <w:sz w:val="24"/>
                <w:highlight w:val="none"/>
                <w:lang w:eastAsia="zh-CN"/>
              </w:rPr>
              <w:t xml:space="preserve">）</w:t>
            </w: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en-US" w:eastAsia="zh-CN"/>
              </w:rPr>
              <w:t xml:space="preserve">食材</w:t>
            </w:r>
            <w:r>
              <w:rPr>
                <w:rFonts w:hint="eastAsia"/>
                <w:sz w:val="24"/>
                <w:highlight w:val="none"/>
              </w:rPr>
              <w:t xml:space="preserve">验货方案</w:t>
            </w:r>
            <w:r>
              <w:rPr>
                <w:sz w:val="24"/>
                <w:highlight w:val="none"/>
              </w:rPr>
            </w:r>
            <w:r/>
          </w:p>
          <w:p>
            <w:pPr>
              <w:pStyle w:val="1039"/>
              <w:spacing w:line="360" w:lineRule="auto"/>
              <w:rPr>
                <w:rFonts w:hint="eastAsia" w:ascii="宋体" w:hAnsi="宋体" w:cs="宋体"/>
                <w:sz w:val="24"/>
                <w:highlight w:val="none"/>
              </w:rPr>
            </w:pPr>
            <w:r>
              <w:rPr>
                <w:rFonts w:hint="eastAsia" w:ascii="宋体" w:hAnsi="宋体" w:cs="宋体"/>
                <w:color w:val="000000"/>
                <w:sz w:val="24"/>
                <w:highlight w:val="none"/>
              </w:rPr>
              <w:t xml:space="preserve">上述评分项内容齐全且无缺陷（缺陷是指：内容所阐述的项目信息与本项目实际信息不一致、内容涉及的规范或标准错误、套用其他项目内容、内容与本项目无关、内容不利于项目实施、内容描述前后不一致、内容层次不清，无具体详细的阐述的任意一种情形）</w:t>
            </w:r>
            <w:r>
              <w:rPr>
                <w:rFonts w:hint="eastAsia" w:ascii="宋体" w:hAnsi="宋体" w:cs="宋体"/>
                <w:color w:val="000000"/>
                <w:sz w:val="24"/>
                <w:highlight w:val="none"/>
              </w:rPr>
              <w:t xml:space="preserve">的得10分，每缺少一项内容扣5分，扣完为止；每存在一处缺陷扣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分，扣完为止。未提供不得分。</w:t>
            </w: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601"/>
        </w:trPr>
        <w:tc>
          <w:tcPr>
            <w:tcW w:w="771"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r>
            <w:r/>
          </w:p>
        </w:tc>
        <w:tc>
          <w:tcPr>
            <w:tcW w:w="1351" w:type="dxa"/>
            <w:vAlign w:val="center"/>
            <w:textDirection w:val="lrTb"/>
            <w:noWrap w:val="false"/>
          </w:tcPr>
          <w:p>
            <w:pPr>
              <w:pStyle w:val="1039"/>
              <w:ind w:firstLine="28"/>
              <w:jc w:val="center"/>
              <w:spacing w:line="360" w:lineRule="auto"/>
              <w:rPr>
                <w:rFonts w:ascii="宋体" w:hAnsi="宋体" w:cs="宋体"/>
                <w:sz w:val="24"/>
                <w:highlight w:val="none"/>
              </w:rPr>
            </w:pPr>
            <w:r>
              <w:rPr>
                <w:rFonts w:hint="eastAsia"/>
                <w:sz w:val="24"/>
                <w:highlight w:val="none"/>
              </w:rPr>
              <w:t xml:space="preserve">食材质量保证措施</w:t>
            </w:r>
            <w:r>
              <w:rPr>
                <w:rFonts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r>
            <w:r/>
          </w:p>
        </w:tc>
        <w:tc>
          <w:tcPr>
            <w:tcW w:w="3766" w:type="dxa"/>
            <w:vAlign w:val="center"/>
            <w:textDirection w:val="lrTb"/>
            <w:noWrap w:val="false"/>
          </w:tcPr>
          <w:p>
            <w:pPr>
              <w:pStyle w:val="103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食材质量要求满足采购文件要求，包含但不限于①根据所采购的食材生产源头、执行管理体系标准②新鲜度③包装④温度控制⑤配送时效</w:t>
            </w:r>
            <w:r>
              <w:rPr>
                <w:rFonts w:hint="eastAsia" w:ascii="宋体" w:hAnsi="宋体" w:eastAsia="宋体" w:cs="宋体"/>
                <w:color w:val="000000"/>
                <w:sz w:val="24"/>
                <w:highlight w:val="none"/>
              </w:rPr>
            </w:r>
            <w:r/>
          </w:p>
          <w:p>
            <w:pPr>
              <w:pStyle w:val="1039"/>
              <w:spacing w:line="360" w:lineRule="auto"/>
              <w:rPr>
                <w:rFonts w:hint="eastAsia" w:ascii="宋体" w:hAnsi="宋体" w:cs="宋体"/>
                <w:sz w:val="24"/>
                <w:highlight w:val="none"/>
              </w:rPr>
            </w:pPr>
            <w:r>
              <w:rPr>
                <w:rFonts w:hint="eastAsia" w:ascii="宋体" w:hAnsi="宋体" w:eastAsia="宋体" w:cs="宋体"/>
                <w:color w:val="000000"/>
                <w:sz w:val="24"/>
                <w:highlight w:val="none"/>
              </w:rPr>
              <w:t xml:space="preserve">上述评分项内容齐全且无缺陷（缺陷是指：内容所阐述的项目信息与本项目实际信息不一致、内容涉及的规范或标准错误、套用其他项目内容、内容与本项目无关、内容不利于项目实施、内容描述前后不一致、内容层次不清，无具体详细的阐述的任意一种情形）的得10分，每缺少一项内容扣</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分，扣完为止；每存在一处缺陷扣</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分，扣完为止。未提供不得分。</w:t>
            </w: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1882"/>
        </w:trPr>
        <w:tc>
          <w:tcPr>
            <w:tcW w:w="771" w:type="dxa"/>
            <w:vAlign w:val="center"/>
            <w:textDirection w:val="lrTb"/>
            <w:noWrap w:val="false"/>
          </w:tcPr>
          <w:p>
            <w:pPr>
              <w:pStyle w:val="1039"/>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W w:w="1351" w:type="dxa"/>
            <w:vAlign w:val="center"/>
            <w:textDirection w:val="lrTb"/>
            <w:noWrap w:val="false"/>
          </w:tcPr>
          <w:p>
            <w:pPr>
              <w:pStyle w:val="1039"/>
              <w:ind w:firstLine="28"/>
              <w:jc w:val="center"/>
              <w:spacing w:line="276" w:lineRule="auto"/>
              <w:rPr>
                <w:rFonts w:ascii="宋体" w:hAnsi="宋体" w:cs="宋体"/>
                <w:color w:val="000000"/>
                <w:sz w:val="24"/>
                <w:highlight w:val="none"/>
              </w:rPr>
            </w:pPr>
            <w:r>
              <w:rPr>
                <w:rFonts w:hint="eastAsia"/>
                <w:color w:val="000000"/>
                <w:sz w:val="24"/>
                <w:highlight w:val="none"/>
              </w:rPr>
              <w:t xml:space="preserve">食材卫生安全保障措施</w:t>
            </w:r>
            <w:r>
              <w:rPr>
                <w:rFonts w:ascii="宋体" w:hAnsi="宋体" w:cs="宋体"/>
                <w:color w:val="000000"/>
                <w:sz w:val="24"/>
                <w:highlight w:val="none"/>
              </w:rPr>
            </w:r>
            <w:r/>
          </w:p>
        </w:tc>
        <w:tc>
          <w:tcPr>
            <w:tcW w:w="844" w:type="dxa"/>
            <w:vAlign w:val="center"/>
            <w:textDirection w:val="lrTb"/>
            <w:noWrap w:val="false"/>
          </w:tcPr>
          <w:p>
            <w:pPr>
              <w:pStyle w:val="1039"/>
              <w:ind w:firstLine="28"/>
              <w:jc w:val="center"/>
              <w:spacing w:line="276" w:lineRule="auto"/>
              <w:rPr>
                <w:rFonts w:ascii="宋体" w:hAnsi="宋体" w:eastAsia="宋体" w:cs="宋体"/>
                <w:color w:val="000000"/>
                <w:sz w:val="24"/>
                <w:highlight w:val="none"/>
                <w:lang w:val="en-US" w:eastAsia="zh-CN"/>
              </w:rPr>
            </w:pPr>
            <w:r>
              <w:rPr>
                <w:rFonts w:hint="eastAsia"/>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3766" w:type="dxa"/>
            <w:vAlign w:val="center"/>
            <w:textDirection w:val="lrTb"/>
            <w:noWrap w:val="false"/>
          </w:tcPr>
          <w:p>
            <w:pPr>
              <w:pStyle w:val="1039"/>
              <w:spacing w:line="276" w:lineRule="auto"/>
              <w:rPr>
                <w:color w:val="000000"/>
                <w:sz w:val="24"/>
                <w:highlight w:val="none"/>
              </w:rPr>
            </w:pPr>
            <w:r>
              <w:rPr>
                <w:rFonts w:hint="eastAsia"/>
                <w:color w:val="000000"/>
                <w:sz w:val="24"/>
                <w:highlight w:val="none"/>
              </w:rPr>
              <w:t xml:space="preserve">食材卫生安全措施满足采购文件要求，包含但不限于</w:t>
            </w:r>
            <w:r>
              <w:rPr>
                <w:rFonts w:ascii="宋体" w:hAnsi="宋体" w:cs="宋体"/>
                <w:color w:val="000000"/>
                <w:sz w:val="24"/>
                <w:highlight w:val="none"/>
              </w:rPr>
              <w:t xml:space="preserve">①</w:t>
            </w:r>
            <w:r>
              <w:rPr>
                <w:rFonts w:hint="eastAsia"/>
                <w:color w:val="000000"/>
                <w:sz w:val="24"/>
                <w:highlight w:val="none"/>
              </w:rPr>
              <w:t xml:space="preserve">食材采购的卫生</w:t>
            </w:r>
            <w:r>
              <w:rPr>
                <w:rFonts w:hint="eastAsia"/>
                <w:color w:val="000000"/>
                <w:sz w:val="24"/>
                <w:highlight w:val="none"/>
                <w:lang w:val="en-US" w:eastAsia="zh-CN"/>
              </w:rPr>
              <w:t xml:space="preserve">要求</w:t>
            </w:r>
            <w:r>
              <w:rPr>
                <w:rFonts w:ascii="宋体" w:hAnsi="宋体" w:cs="宋体"/>
                <w:color w:val="000000"/>
                <w:sz w:val="24"/>
                <w:highlight w:val="none"/>
              </w:rPr>
              <w:t xml:space="preserve">②</w:t>
            </w:r>
            <w:r>
              <w:rPr>
                <w:rFonts w:hint="eastAsia"/>
                <w:color w:val="000000"/>
                <w:sz w:val="24"/>
                <w:highlight w:val="none"/>
              </w:rPr>
              <w:t xml:space="preserve">配送环节的卫生安全保障措施</w:t>
            </w:r>
            <w:r>
              <w:rPr>
                <w:color w:val="000000"/>
                <w:sz w:val="24"/>
                <w:highlight w:val="none"/>
              </w:rPr>
            </w:r>
            <w:r/>
          </w:p>
          <w:p>
            <w:pPr>
              <w:pStyle w:val="1039"/>
              <w:spacing w:line="276" w:lineRule="auto"/>
              <w:rPr>
                <w:rFonts w:hint="eastAsia" w:ascii="宋体" w:hAnsi="宋体" w:cs="宋体"/>
                <w:color w:val="000000"/>
                <w:sz w:val="24"/>
                <w:highlight w:val="none"/>
              </w:rPr>
            </w:pPr>
            <w:r/>
            <w:bookmarkStart w:id="670" w:name="OLE_LINK28"/>
            <w:r>
              <w:rPr>
                <w:rFonts w:hint="eastAsia" w:ascii="宋体" w:hAnsi="宋体" w:cs="宋体"/>
                <w:color w:val="000000"/>
                <w:sz w:val="24"/>
                <w:highlight w:val="none"/>
              </w:rPr>
              <w:t xml:space="preserve">上述评分项内容齐全且无缺陷（缺陷是指：内容所阐述的项目信息与本项目实际信息不一致、内容涉及的规范或标准错误、套用其他项目内容、内容与本项目无关、内容不利于项目实施、内容描述前后不一致、内容层次不清，无具体详细的阐述的任意一种情形）</w:t>
            </w:r>
            <w:r>
              <w:rPr>
                <w:rFonts w:hint="eastAsia" w:ascii="宋体" w:hAnsi="宋体" w:cs="宋体"/>
                <w:color w:val="000000"/>
                <w:sz w:val="24"/>
                <w:highlight w:val="none"/>
              </w:rPr>
              <w:t xml:space="preserve">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分，每缺少一项内容扣5分，扣完为止；每存在一处缺陷扣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分，扣完为止。未提供不得分。</w:t>
            </w:r>
            <w:bookmarkEnd w:id="670"/>
            <w:r>
              <w:rPr>
                <w:rFonts w:hint="eastAsia" w:ascii="宋体" w:hAnsi="宋体" w:cs="宋体"/>
                <w:color w:val="000000"/>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411"/>
        </w:trPr>
        <w:tc>
          <w:tcPr>
            <w:tcW w:w="771" w:type="dxa"/>
            <w:vAlign w:val="center"/>
            <w:textDirection w:val="lrTb"/>
            <w:noWrap w:val="false"/>
          </w:tcPr>
          <w:p>
            <w:pPr>
              <w:pStyle w:val="1039"/>
              <w:ind w:firstLine="28"/>
              <w:spacing w:line="360" w:lineRule="auto"/>
              <w:rPr>
                <w:rFonts w:ascii="宋体" w:hAnsi="宋体" w:cs="宋体"/>
                <w:sz w:val="24"/>
                <w:highlight w:val="none"/>
              </w:rPr>
            </w:pPr>
            <w:r>
              <w:rPr>
                <w:rFonts w:hint="eastAsia" w:ascii="宋体" w:hAnsi="宋体" w:cs="宋体"/>
                <w:sz w:val="24"/>
                <w:highlight w:val="none"/>
              </w:rPr>
              <w:t xml:space="preserve">2.5</w:t>
            </w:r>
            <w:r>
              <w:rPr>
                <w:rFonts w:ascii="宋体" w:hAnsi="宋体" w:cs="宋体"/>
                <w:sz w:val="24"/>
                <w:highlight w:val="none"/>
              </w:rPr>
            </w:r>
            <w:r/>
          </w:p>
        </w:tc>
        <w:tc>
          <w:tcPr>
            <w:tcW w:w="1351" w:type="dxa"/>
            <w:vAlign w:val="center"/>
            <w:textDirection w:val="lrTb"/>
            <w:noWrap w:val="false"/>
          </w:tcPr>
          <w:p>
            <w:pPr>
              <w:pStyle w:val="1039"/>
              <w:ind w:firstLine="28"/>
              <w:jc w:val="center"/>
              <w:spacing w:line="276" w:lineRule="auto"/>
              <w:rPr>
                <w:rFonts w:ascii="宋体" w:hAnsi="宋体" w:cs="宋体"/>
                <w:sz w:val="24"/>
                <w:highlight w:val="none"/>
              </w:rPr>
            </w:pPr>
            <w:r>
              <w:rPr>
                <w:rFonts w:hint="eastAsia"/>
                <w:sz w:val="24"/>
                <w:highlight w:val="none"/>
              </w:rPr>
              <w:t xml:space="preserve">应急响应措施方案</w:t>
            </w:r>
            <w:r>
              <w:rPr>
                <w:rFonts w:ascii="宋体" w:hAnsi="宋体" w:cs="宋体"/>
                <w:sz w:val="24"/>
                <w:highlight w:val="none"/>
              </w:rPr>
            </w:r>
            <w:r/>
          </w:p>
        </w:tc>
        <w:tc>
          <w:tcPr>
            <w:tcW w:w="844" w:type="dxa"/>
            <w:vAlign w:val="center"/>
            <w:textDirection w:val="lrTb"/>
            <w:noWrap w:val="false"/>
          </w:tcPr>
          <w:p>
            <w:pPr>
              <w:pStyle w:val="1039"/>
              <w:ind w:firstLine="28"/>
              <w:jc w:val="center"/>
              <w:spacing w:line="276" w:lineRule="auto"/>
              <w:rPr>
                <w:rFonts w:hint="eastAsia" w:ascii="宋体" w:hAnsi="宋体" w:cs="宋体"/>
                <w:sz w:val="24"/>
                <w:highlight w:val="none"/>
              </w:rPr>
            </w:pPr>
            <w:r>
              <w:rPr>
                <w:rFonts w:hint="eastAsia"/>
                <w:sz w:val="24"/>
                <w:highlight w:val="none"/>
              </w:rPr>
              <w:t xml:space="preserve">6</w:t>
            </w:r>
            <w:r>
              <w:rPr>
                <w:rFonts w:hint="eastAsia" w:ascii="宋体" w:hAnsi="宋体" w:cs="宋体"/>
                <w:sz w:val="24"/>
                <w:highlight w:val="none"/>
              </w:rPr>
            </w:r>
            <w:r/>
          </w:p>
        </w:tc>
        <w:tc>
          <w:tcPr>
            <w:tcW w:w="3766" w:type="dxa"/>
            <w:vAlign w:val="center"/>
            <w:textDirection w:val="lrTb"/>
            <w:noWrap w:val="false"/>
          </w:tcPr>
          <w:p>
            <w:pPr>
              <w:pStyle w:val="1039"/>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根据供应商提供的包含但不限于</w:t>
            </w:r>
            <w:r>
              <w:rPr>
                <w:rFonts w:ascii="宋体" w:hAnsi="宋体" w:cs="宋体"/>
                <w:color w:val="000000"/>
                <w:sz w:val="24"/>
                <w:highlight w:val="none"/>
              </w:rPr>
              <w:t xml:space="preserve">①</w:t>
            </w:r>
            <w:r>
              <w:rPr>
                <w:rFonts w:hint="eastAsia" w:ascii="宋体" w:hAnsi="宋体" w:cs="宋体"/>
                <w:color w:val="000000"/>
                <w:sz w:val="24"/>
                <w:highlight w:val="none"/>
              </w:rPr>
              <w:t xml:space="preserve">应急响应措施情况</w:t>
            </w:r>
            <w:r>
              <w:rPr>
                <w:rFonts w:ascii="宋体" w:hAnsi="宋体" w:cs="宋体"/>
                <w:color w:val="000000"/>
                <w:sz w:val="24"/>
                <w:highlight w:val="none"/>
              </w:rPr>
              <w:t xml:space="preserve">②</w:t>
            </w:r>
            <w:r>
              <w:rPr>
                <w:rFonts w:hint="eastAsia" w:ascii="宋体" w:hAnsi="宋体" w:cs="宋体"/>
                <w:color w:val="000000"/>
                <w:sz w:val="24"/>
                <w:highlight w:val="none"/>
              </w:rPr>
              <w:t xml:space="preserve">响应时间、合理性</w:t>
            </w:r>
            <w:r>
              <w:rPr>
                <w:rFonts w:hint="eastAsia" w:ascii="宋体" w:hAnsi="宋体" w:cs="宋体"/>
                <w:color w:val="000000"/>
                <w:sz w:val="24"/>
                <w:highlight w:val="none"/>
              </w:rPr>
            </w:r>
            <w:r/>
          </w:p>
          <w:p>
            <w:pPr>
              <w:pStyle w:val="1039"/>
              <w:jc w:val="left"/>
              <w:spacing w:line="276" w:lineRule="auto"/>
              <w:rPr>
                <w:rFonts w:hint="eastAsia" w:ascii="宋体" w:hAnsi="宋体" w:cs="宋体"/>
                <w:sz w:val="24"/>
                <w:highlight w:val="none"/>
              </w:rPr>
            </w:pPr>
            <w:r>
              <w:rPr>
                <w:rFonts w:hint="eastAsia" w:ascii="宋体" w:hAnsi="宋体" w:cs="宋体"/>
                <w:color w:val="000000"/>
                <w:sz w:val="24"/>
                <w:highlight w:val="none"/>
              </w:rPr>
              <w:t xml:space="preserve">上述评分项内容齐全且无缺陷（缺陷是指：内容所阐述的项目信息与本项目实际信息不一致、内容涉及的规范或标准错误、套用其他项目内容、内容与本项目无关、内容不利于项目实施、内容描述前后不一致、内容层次不清，无具体详细的阐述的任意一种情形）</w:t>
            </w:r>
            <w:r>
              <w:rPr>
                <w:rFonts w:hint="eastAsia" w:ascii="宋体" w:hAnsi="宋体" w:cs="宋体"/>
                <w:color w:val="000000"/>
                <w:sz w:val="24"/>
                <w:highlight w:val="none"/>
              </w:rPr>
              <w:t xml:space="preserve">的得6分，每缺少一项内容扣3分，扣完为止；每存在一处缺陷扣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分，扣完为止。未提供不得分。</w:t>
            </w: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46"/>
        </w:trPr>
        <w:tc>
          <w:tcPr>
            <w:tcW w:w="771"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351"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25</w:t>
            </w:r>
            <w:r>
              <w:rPr>
                <w:rFonts w:ascii="宋体" w:hAnsi="宋体" w:eastAsia="宋体" w:cs="宋体"/>
                <w:sz w:val="24"/>
                <w:highlight w:val="none"/>
                <w:lang w:val="en-US" w:eastAsia="zh-CN"/>
              </w:rPr>
            </w:r>
            <w:r/>
          </w:p>
        </w:tc>
        <w:tc>
          <w:tcPr>
            <w:tcW w:w="3766" w:type="dxa"/>
            <w:vAlign w:val="center"/>
            <w:textDirection w:val="lrTb"/>
            <w:noWrap w:val="false"/>
          </w:tcPr>
          <w:p>
            <w:pPr>
              <w:pStyle w:val="1039"/>
              <w:spacing w:line="360"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1039"/>
              <w:ind w:left="-38"/>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1027"/>
        </w:trPr>
        <w:tc>
          <w:tcPr>
            <w:tcW w:w="771" w:type="dxa"/>
            <w:vAlign w:val="center"/>
            <w:textDirection w:val="lrTb"/>
            <w:noWrap w:val="false"/>
          </w:tcPr>
          <w:p>
            <w:pPr>
              <w:pStyle w:val="1039"/>
              <w:ind w:firstLine="28"/>
              <w:jc w:val="center"/>
              <w:spacing w:line="276" w:lineRule="auto"/>
              <w:rPr>
                <w:rFonts w:hint="eastAsia" w:eastAsia="宋体"/>
                <w:sz w:val="24"/>
                <w:highlight w:val="none"/>
                <w:lang w:val="en-US" w:eastAsia="zh-CN"/>
              </w:rPr>
            </w:pPr>
            <w:r>
              <w:rPr>
                <w:sz w:val="24"/>
                <w:highlight w:val="none"/>
              </w:rPr>
              <w:t xml:space="preserve">3.</w:t>
            </w:r>
            <w:r>
              <w:rPr>
                <w:rFonts w:hint="eastAsia"/>
                <w:sz w:val="24"/>
                <w:highlight w:val="none"/>
                <w:lang w:val="en-US" w:eastAsia="zh-CN"/>
              </w:rPr>
              <w:t xml:space="preserve">1</w:t>
            </w:r>
            <w:r>
              <w:rPr>
                <w:rFonts w:hint="eastAsia" w:eastAsia="宋体"/>
                <w:sz w:val="24"/>
                <w:highlight w:val="none"/>
                <w:lang w:val="en-US" w:eastAsia="zh-CN"/>
              </w:rPr>
            </w:r>
            <w:r/>
          </w:p>
        </w:tc>
        <w:tc>
          <w:tcPr>
            <w:tcW w:w="1351" w:type="dxa"/>
            <w:vAlign w:val="center"/>
            <w:textDirection w:val="lrTb"/>
            <w:noWrap w:val="false"/>
          </w:tcPr>
          <w:p>
            <w:pPr>
              <w:pStyle w:val="1039"/>
              <w:ind w:firstLine="28"/>
              <w:jc w:val="center"/>
              <w:spacing w:line="276" w:lineRule="auto"/>
              <w:rPr>
                <w:rFonts w:hint="eastAsia" w:eastAsia="宋体"/>
                <w:sz w:val="24"/>
                <w:highlight w:val="none"/>
                <w:lang w:val="en-US" w:eastAsia="zh-CN"/>
              </w:rPr>
            </w:pPr>
            <w:r>
              <w:rPr>
                <w:rFonts w:hint="eastAsia"/>
                <w:sz w:val="24"/>
                <w:highlight w:val="none"/>
              </w:rPr>
              <w:t xml:space="preserve">供应商综合实力</w:t>
            </w:r>
            <w:r>
              <w:rPr>
                <w:rFonts w:hint="eastAsia"/>
                <w:sz w:val="24"/>
                <w:highlight w:val="none"/>
                <w:lang w:val="en-US" w:eastAsia="zh-CN"/>
              </w:rPr>
              <w:t xml:space="preserve">1</w:t>
            </w:r>
            <w:r>
              <w:rPr>
                <w:rFonts w:hint="eastAsia" w:eastAsia="宋体"/>
                <w:sz w:val="24"/>
                <w:highlight w:val="none"/>
                <w:lang w:val="en-US" w:eastAsia="zh-CN"/>
              </w:rPr>
            </w:r>
            <w:r/>
          </w:p>
        </w:tc>
        <w:tc>
          <w:tcPr>
            <w:tcW w:w="844" w:type="dxa"/>
            <w:vAlign w:val="center"/>
            <w:textDirection w:val="lrTb"/>
            <w:noWrap w:val="false"/>
          </w:tcPr>
          <w:p>
            <w:pPr>
              <w:pStyle w:val="1039"/>
              <w:ind w:firstLine="28"/>
              <w:jc w:val="center"/>
              <w:spacing w:line="276" w:lineRule="auto"/>
              <w:rPr>
                <w:rFonts w:hint="eastAsia" w:eastAsia="宋体"/>
                <w:sz w:val="24"/>
                <w:highlight w:val="none"/>
                <w:lang w:eastAsia="zh-CN"/>
              </w:rPr>
            </w:pPr>
            <w:r>
              <w:rPr>
                <w:rFonts w:hint="eastAsia"/>
                <w:sz w:val="24"/>
                <w:highlight w:val="none"/>
                <w:lang w:val="en-US" w:eastAsia="zh-CN"/>
              </w:rPr>
              <w:t xml:space="preserve">4</w:t>
            </w:r>
            <w:r>
              <w:rPr>
                <w:rFonts w:hint="eastAsia" w:eastAsia="宋体"/>
                <w:sz w:val="24"/>
                <w:highlight w:val="none"/>
                <w:lang w:eastAsia="zh-CN"/>
              </w:rPr>
            </w:r>
            <w:r/>
          </w:p>
        </w:tc>
        <w:tc>
          <w:tcPr>
            <w:tcW w:w="3766" w:type="dxa"/>
            <w:vAlign w:val="center"/>
            <w:textDirection w:val="lrTb"/>
            <w:noWrap w:val="false"/>
          </w:tcPr>
          <w:p>
            <w:pPr>
              <w:pStyle w:val="1039"/>
              <w:jc w:val="left"/>
              <w:spacing w:line="276" w:lineRule="auto"/>
              <w:rPr>
                <w:rFonts w:hint="eastAsia"/>
                <w:sz w:val="24"/>
                <w:highlight w:val="none"/>
              </w:rPr>
            </w:pPr>
            <w:r>
              <w:rPr>
                <w:rFonts w:hint="eastAsia"/>
                <w:sz w:val="24"/>
                <w:highlight w:val="none"/>
              </w:rPr>
              <w:t xml:space="preserve">供应商具有有效期内的质量管理体系、环境管理体系、职业健康安全管理体系、食品安全管理体系的，每有1个得1分，最高得</w:t>
            </w:r>
            <w:r>
              <w:rPr>
                <w:rFonts w:hint="eastAsia"/>
                <w:sz w:val="24"/>
                <w:highlight w:val="none"/>
                <w:lang w:val="en-US" w:eastAsia="zh-CN"/>
              </w:rPr>
              <w:t xml:space="preserve">4</w:t>
            </w:r>
            <w:r>
              <w:rPr>
                <w:rFonts w:hint="eastAsia"/>
                <w:sz w:val="24"/>
                <w:highlight w:val="none"/>
              </w:rPr>
              <w:t xml:space="preserve">分。</w:t>
            </w:r>
            <w:r>
              <w:rPr>
                <w:rFonts w:hint="eastAsia"/>
                <w:sz w:val="24"/>
                <w:highlight w:val="none"/>
              </w:rPr>
            </w:r>
            <w:r/>
          </w:p>
        </w:tc>
        <w:tc>
          <w:tcPr>
            <w:tcW w:w="1636" w:type="dxa"/>
            <w:vAlign w:val="center"/>
            <w:textDirection w:val="lrTb"/>
            <w:noWrap w:val="false"/>
          </w:tcPr>
          <w:p>
            <w:pPr>
              <w:pStyle w:val="1039"/>
              <w:ind w:firstLine="28"/>
              <w:jc w:val="left"/>
              <w:spacing w:line="276" w:lineRule="auto"/>
              <w:rPr>
                <w:rFonts w:hint="eastAsia"/>
                <w:sz w:val="24"/>
                <w:highlight w:val="none"/>
              </w:rPr>
            </w:pPr>
            <w:r>
              <w:rPr>
                <w:rFonts w:hint="eastAsia"/>
                <w:sz w:val="24"/>
                <w:highlight w:val="none"/>
              </w:rPr>
              <w:t xml:space="preserve">注：须提供有效证书扫描件及国家认证认可监督管理委员会http://www.cnca.gov.cn/网站上状态显示有效的截图并加盖供应商公章，原件在确认中标后送至采购人处核查。</w:t>
            </w:r>
            <w:r>
              <w:rPr>
                <w:rFonts w:hint="eastAsia"/>
                <w:sz w:val="24"/>
                <w:highlight w:val="none"/>
              </w:rPr>
            </w:r>
            <w:r/>
          </w:p>
        </w:tc>
      </w:tr>
      <w:tr>
        <w:trPr>
          <w:trHeight w:val="1027"/>
        </w:trPr>
        <w:tc>
          <w:tcPr>
            <w:tcW w:w="771" w:type="dxa"/>
            <w:vAlign w:val="center"/>
            <w:textDirection w:val="lrTb"/>
            <w:noWrap w:val="false"/>
          </w:tcPr>
          <w:p>
            <w:pPr>
              <w:pStyle w:val="1039"/>
              <w:ind w:firstLine="28"/>
              <w:jc w:val="center"/>
              <w:spacing w:line="276" w:lineRule="auto"/>
              <w:rPr>
                <w:rFonts w:eastAsia="宋体"/>
                <w:sz w:val="24"/>
                <w:highlight w:val="none"/>
                <w:lang w:val="en-US" w:eastAsia="zh-CN"/>
              </w:rPr>
            </w:pPr>
            <w:r>
              <w:rPr>
                <w:rFonts w:hint="eastAsia"/>
                <w:sz w:val="24"/>
                <w:highlight w:val="none"/>
                <w:lang w:val="en-US" w:eastAsia="zh-CN"/>
              </w:rPr>
              <w:t xml:space="preserve">3.2</w:t>
            </w:r>
            <w:r>
              <w:rPr>
                <w:rFonts w:eastAsia="宋体"/>
                <w:sz w:val="24"/>
                <w:highlight w:val="none"/>
                <w:lang w:val="en-US" w:eastAsia="zh-CN"/>
              </w:rPr>
            </w:r>
            <w:r/>
          </w:p>
        </w:tc>
        <w:tc>
          <w:tcPr>
            <w:tcW w:w="1351" w:type="dxa"/>
            <w:vAlign w:val="center"/>
            <w:textDirection w:val="lrTb"/>
            <w:noWrap w:val="false"/>
          </w:tcPr>
          <w:p>
            <w:pPr>
              <w:pStyle w:val="1039"/>
              <w:ind w:firstLine="28"/>
              <w:jc w:val="center"/>
              <w:spacing w:line="276" w:lineRule="auto"/>
              <w:rPr>
                <w:rFonts w:hint="eastAsia"/>
                <w:sz w:val="24"/>
                <w:highlight w:val="none"/>
              </w:rPr>
            </w:pPr>
            <w:r>
              <w:rPr>
                <w:rFonts w:hint="eastAsia"/>
                <w:sz w:val="24"/>
                <w:highlight w:val="none"/>
              </w:rPr>
              <w:t xml:space="preserve">供应商综合实力</w:t>
            </w:r>
            <w:r>
              <w:rPr>
                <w:rFonts w:hint="eastAsia" w:ascii="Times New Roman" w:eastAsia="宋体"/>
                <w:sz w:val="24"/>
                <w:highlight w:val="none"/>
                <w:lang w:val="en-US" w:eastAsia="zh-CN"/>
              </w:rPr>
              <w:t xml:space="preserve">2</w:t>
            </w:r>
            <w:r>
              <w:rPr>
                <w:rFonts w:hint="eastAsia"/>
                <w:sz w:val="24"/>
                <w:highlight w:val="none"/>
              </w:rPr>
            </w:r>
            <w:r/>
          </w:p>
        </w:tc>
        <w:tc>
          <w:tcPr>
            <w:tcW w:w="844" w:type="dxa"/>
            <w:vAlign w:val="center"/>
            <w:textDirection w:val="lrTb"/>
            <w:noWrap w:val="false"/>
          </w:tcPr>
          <w:p>
            <w:pPr>
              <w:pStyle w:val="1039"/>
              <w:ind w:firstLine="28"/>
              <w:jc w:val="center"/>
              <w:spacing w:line="276" w:lineRule="auto"/>
              <w:rPr>
                <w:sz w:val="24"/>
                <w:highlight w:val="none"/>
                <w:lang w:val="en-US" w:eastAsia="zh-CN"/>
              </w:rPr>
            </w:pPr>
            <w:r>
              <w:rPr>
                <w:rFonts w:hint="eastAsia"/>
                <w:sz w:val="24"/>
                <w:highlight w:val="none"/>
                <w:lang w:val="en-US" w:eastAsia="zh-CN"/>
              </w:rPr>
              <w:t xml:space="preserve">5</w:t>
            </w:r>
            <w:r>
              <w:rPr>
                <w:sz w:val="24"/>
                <w:highlight w:val="none"/>
                <w:lang w:val="en-US" w:eastAsia="zh-CN"/>
              </w:rPr>
            </w:r>
            <w:r/>
          </w:p>
        </w:tc>
        <w:tc>
          <w:tcPr>
            <w:tcW w:w="3766" w:type="dxa"/>
            <w:vAlign w:val="center"/>
            <w:textDirection w:val="lrTb"/>
            <w:noWrap w:val="false"/>
          </w:tcPr>
          <w:p>
            <w:pPr>
              <w:pStyle w:val="1070"/>
              <w:tabs>
                <w:tab w:val="left" w:pos="567" w:leader="none"/>
              </w:tabs>
              <w:rPr>
                <w:rFonts w:hint="eastAsia"/>
                <w:sz w:val="24"/>
                <w:highlight w:val="none"/>
                <w:lang w:val="en-US" w:eastAsia="zh-CN"/>
              </w:rPr>
            </w:pPr>
            <w:r>
              <w:rPr>
                <w:rFonts w:hint="eastAsia"/>
                <w:sz w:val="24"/>
                <w:highlight w:val="none"/>
                <w:lang w:val="en-US" w:eastAsia="zh-CN"/>
              </w:rPr>
              <w:t xml:space="preserve">2022年1月1日以来，供应商自有绿色蔬菜保供基地或绿色蔬菜保供合作基地。自有基地每有一块得2.5分；合作基地每有一块得1.5分。</w:t>
            </w:r>
            <w:r>
              <w:rPr>
                <w:rFonts w:hint="eastAsia"/>
                <w:sz w:val="24"/>
                <w:highlight w:val="none"/>
                <w:lang w:val="en-US" w:eastAsia="zh-CN"/>
              </w:rPr>
            </w:r>
            <w:r/>
          </w:p>
          <w:p>
            <w:pPr>
              <w:pStyle w:val="1070"/>
              <w:tabs>
                <w:tab w:val="left" w:pos="567" w:leader="none"/>
              </w:tabs>
              <w:rPr>
                <w:rFonts w:hint="eastAsia"/>
                <w:sz w:val="24"/>
                <w:highlight w:val="none"/>
                <w:lang w:val="en-US" w:eastAsia="zh-CN"/>
              </w:rPr>
            </w:pP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w:t>
            </w:r>
            <w:r>
              <w:rPr>
                <w:rFonts w:hint="eastAsia"/>
                <w:sz w:val="24"/>
                <w:highlight w:val="none"/>
                <w:lang w:val="en-US" w:eastAsia="zh-CN"/>
              </w:rPr>
              <w:t xml:space="preserve">5分。</w:t>
            </w:r>
            <w:r>
              <w:rPr>
                <w:rFonts w:hint="eastAsia"/>
                <w:sz w:val="24"/>
                <w:highlight w:val="none"/>
                <w:lang w:val="en-US" w:eastAsia="zh-CN"/>
              </w:rPr>
            </w:r>
            <w:r/>
          </w:p>
          <w:p>
            <w:pPr>
              <w:pStyle w:val="1070"/>
              <w:tabs>
                <w:tab w:val="left" w:pos="567" w:leader="none"/>
              </w:tabs>
              <w:rPr>
                <w:highlight w:val="none"/>
                <w:lang w:val="en-US" w:eastAsia="zh-CN"/>
              </w:rPr>
            </w:pPr>
            <w:r>
              <w:rPr>
                <w:highlight w:val="none"/>
                <w:lang w:val="en-US" w:eastAsia="zh-CN"/>
              </w:rPr>
            </w:r>
            <w:r/>
          </w:p>
        </w:tc>
        <w:tc>
          <w:tcPr>
            <w:tcW w:w="1636" w:type="dxa"/>
            <w:vAlign w:val="center"/>
            <w:textDirection w:val="lrTb"/>
            <w:noWrap w:val="false"/>
          </w:tcPr>
          <w:p>
            <w:pPr>
              <w:pStyle w:val="1039"/>
              <w:ind w:firstLine="28"/>
              <w:jc w:val="left"/>
              <w:spacing w:line="276" w:lineRule="auto"/>
              <w:rPr>
                <w:sz w:val="24"/>
                <w:highlight w:val="none"/>
                <w:lang w:val="en-US"/>
              </w:rPr>
            </w:pPr>
            <w:r>
              <w:rPr>
                <w:rFonts w:hint="eastAsia" w:ascii="Times New Roman" w:eastAsia="宋体"/>
                <w:sz w:val="24"/>
                <w:highlight w:val="none"/>
                <w:lang w:val="en-US" w:eastAsia="zh-CN"/>
              </w:rPr>
              <w:t xml:space="preserve">供应商需提供政府职能部门的绿色蔬菜基地认定文件等材料。若合作基地</w:t>
            </w:r>
            <w:r>
              <w:rPr>
                <w:rFonts w:hint="eastAsia" w:ascii="Times New Roman" w:eastAsia="宋体"/>
                <w:sz w:val="24"/>
                <w:highlight w:val="none"/>
                <w:lang w:val="en-US" w:eastAsia="zh-CN"/>
              </w:rPr>
              <w:t xml:space="preserve">提供上述资料以外</w:t>
            </w:r>
            <w:r>
              <w:rPr>
                <w:rFonts w:hint="eastAsia" w:ascii="Times New Roman" w:eastAsia="宋体"/>
                <w:sz w:val="24"/>
                <w:highlight w:val="none"/>
                <w:lang w:val="en-US" w:eastAsia="zh-CN"/>
              </w:rPr>
              <w:t xml:space="preserve">还需提供与合作基地的合作协议。</w:t>
            </w:r>
            <w:r>
              <w:rPr>
                <w:sz w:val="24"/>
                <w:highlight w:val="none"/>
                <w:lang w:val="en-US"/>
              </w:rPr>
            </w:r>
            <w:r/>
          </w:p>
        </w:tc>
      </w:tr>
      <w:tr>
        <w:trPr/>
        <w:tc>
          <w:tcPr>
            <w:tcW w:w="771" w:type="dxa"/>
            <w:vAlign w:val="center"/>
            <w:textDirection w:val="lrTb"/>
            <w:noWrap/>
          </w:tcPr>
          <w:p>
            <w:pPr>
              <w:pStyle w:val="1039"/>
              <w:ind w:firstLine="28"/>
              <w:jc w:val="center"/>
              <w:spacing w:line="276" w:lineRule="auto"/>
              <w:rPr>
                <w:rFonts w:hint="eastAsia" w:eastAsia="宋体"/>
                <w:sz w:val="24"/>
                <w:highlight w:val="none"/>
                <w:lang w:eastAsia="zh-CN"/>
              </w:rPr>
            </w:pPr>
            <w:r>
              <w:rPr>
                <w:rFonts w:hint="eastAsia"/>
                <w:sz w:val="24"/>
                <w:highlight w:val="none"/>
              </w:rPr>
              <w:t xml:space="preserve">3</w:t>
            </w:r>
            <w:r>
              <w:rPr>
                <w:sz w:val="24"/>
                <w:highlight w:val="none"/>
              </w:rPr>
              <w:t xml:space="preserve">.</w:t>
            </w:r>
            <w:r>
              <w:rPr>
                <w:rFonts w:hint="eastAsia"/>
                <w:sz w:val="24"/>
                <w:highlight w:val="none"/>
                <w:lang w:val="en-US" w:eastAsia="zh-CN"/>
              </w:rPr>
              <w:t xml:space="preserve">2</w:t>
            </w:r>
            <w:r>
              <w:rPr>
                <w:rFonts w:hint="eastAsia" w:eastAsia="宋体"/>
                <w:sz w:val="24"/>
                <w:highlight w:val="none"/>
                <w:lang w:eastAsia="zh-CN"/>
              </w:rPr>
            </w:r>
            <w:r/>
          </w:p>
        </w:tc>
        <w:tc>
          <w:tcPr>
            <w:tcW w:w="1351" w:type="dxa"/>
            <w:vAlign w:val="center"/>
            <w:textDirection w:val="lrTb"/>
            <w:noWrap/>
          </w:tcPr>
          <w:p>
            <w:pPr>
              <w:pStyle w:val="1039"/>
              <w:ind w:firstLine="28"/>
              <w:jc w:val="center"/>
              <w:spacing w:line="276" w:lineRule="auto"/>
              <w:rPr>
                <w:sz w:val="24"/>
                <w:highlight w:val="none"/>
              </w:rPr>
            </w:pPr>
            <w:r>
              <w:rPr>
                <w:rFonts w:hint="eastAsia"/>
                <w:sz w:val="24"/>
                <w:highlight w:val="none"/>
              </w:rPr>
              <w:t xml:space="preserve">冷链运输车辆</w:t>
            </w:r>
            <w:r>
              <w:rPr>
                <w:sz w:val="24"/>
                <w:highlight w:val="none"/>
              </w:rPr>
            </w:r>
            <w:r/>
          </w:p>
        </w:tc>
        <w:tc>
          <w:tcPr>
            <w:tcW w:w="844" w:type="dxa"/>
            <w:vAlign w:val="center"/>
            <w:textDirection w:val="lrTb"/>
            <w:noWrap/>
          </w:tcPr>
          <w:p>
            <w:pPr>
              <w:pStyle w:val="1039"/>
              <w:ind w:firstLine="28"/>
              <w:jc w:val="center"/>
              <w:spacing w:line="276" w:lineRule="auto"/>
              <w:rPr>
                <w:rFonts w:hint="eastAsia"/>
                <w:sz w:val="24"/>
                <w:highlight w:val="none"/>
              </w:rPr>
            </w:pPr>
            <w:r>
              <w:rPr>
                <w:rFonts w:hint="eastAsia"/>
                <w:sz w:val="24"/>
                <w:highlight w:val="none"/>
              </w:rPr>
              <w:t xml:space="preserve">3</w:t>
            </w:r>
            <w:r>
              <w:rPr>
                <w:rFonts w:hint="eastAsia"/>
                <w:sz w:val="24"/>
                <w:highlight w:val="none"/>
              </w:rPr>
            </w:r>
            <w:r/>
          </w:p>
        </w:tc>
        <w:tc>
          <w:tcPr>
            <w:tcW w:w="3766" w:type="dxa"/>
            <w:vAlign w:val="center"/>
            <w:textDirection w:val="lrTb"/>
            <w:noWrap/>
          </w:tcPr>
          <w:p>
            <w:pPr>
              <w:pStyle w:val="1039"/>
              <w:spacing w:line="276" w:lineRule="auto"/>
              <w:rPr>
                <w:rFonts w:hint="eastAsia" w:ascii="宋体" w:hAnsi="宋体" w:eastAsia="宋体" w:cs="宋体"/>
                <w:sz w:val="24"/>
                <w:highlight w:val="none"/>
                <w:lang w:val="en-US" w:eastAsia="zh-CN"/>
              </w:rPr>
            </w:pPr>
            <w:r>
              <w:rPr>
                <w:rFonts w:hint="eastAsia" w:ascii="宋体" w:hAnsi="宋体" w:cs="宋体"/>
                <w:sz w:val="24"/>
                <w:highlight w:val="none"/>
              </w:rPr>
              <w:t xml:space="preserve">供应商自有专用冷链运输车，每有一辆得1分</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r>
            <w:r/>
          </w:p>
          <w:p>
            <w:pPr>
              <w:pStyle w:val="1070"/>
              <w:tabs>
                <w:tab w:val="left" w:pos="567"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租赁</w:t>
            </w:r>
            <w:r>
              <w:rPr>
                <w:rFonts w:hint="eastAsia" w:ascii="宋体" w:hAnsi="宋体" w:cs="宋体"/>
                <w:sz w:val="24"/>
                <w:highlight w:val="none"/>
              </w:rPr>
              <w:t xml:space="preserve">专用冷链运输车，每有一辆得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070"/>
              <w:tabs>
                <w:tab w:val="left" w:pos="567" w:leader="none"/>
              </w:tabs>
              <w:rPr>
                <w:highlight w:val="none"/>
              </w:rPr>
            </w:pP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最高得3分。</w:t>
            </w:r>
            <w:r>
              <w:rPr>
                <w:highlight w:val="none"/>
              </w:rPr>
            </w:r>
            <w:r/>
          </w:p>
        </w:tc>
        <w:tc>
          <w:tcPr>
            <w:tcW w:w="1636" w:type="dxa"/>
            <w:vAlign w:val="center"/>
            <w:textDirection w:val="lrTb"/>
            <w:noWrap/>
          </w:tcPr>
          <w:p>
            <w:pPr>
              <w:pStyle w:val="1039"/>
              <w:ind w:left="-38"/>
              <w:spacing w:line="276" w:lineRule="auto"/>
              <w:rPr>
                <w:rFonts w:hint="eastAsia"/>
                <w:sz w:val="24"/>
                <w:highlight w:val="none"/>
              </w:rPr>
            </w:pPr>
            <w:r>
              <w:rPr>
                <w:rFonts w:hint="eastAsia"/>
                <w:sz w:val="24"/>
                <w:highlight w:val="none"/>
              </w:rPr>
              <w:t xml:space="preserve">注：</w:t>
            </w:r>
            <w:r>
              <w:rPr>
                <w:rFonts w:hint="eastAsia" w:ascii="宋体" w:hAnsi="宋体" w:cs="宋体"/>
                <w:sz w:val="24"/>
                <w:highlight w:val="none"/>
              </w:rPr>
              <w:t xml:space="preserve">响应文件</w:t>
            </w:r>
            <w:r>
              <w:rPr>
                <w:rFonts w:hint="eastAsia"/>
                <w:sz w:val="24"/>
                <w:highlight w:val="none"/>
              </w:rPr>
              <w:t xml:space="preserve">中须提供</w:t>
            </w:r>
            <w:r>
              <w:rPr>
                <w:rFonts w:hint="eastAsia" w:ascii="宋体" w:hAnsi="宋体" w:cs="宋体"/>
                <w:sz w:val="24"/>
                <w:highlight w:val="none"/>
              </w:rPr>
              <w:t xml:space="preserve">冷链运输车</w:t>
            </w:r>
            <w:r>
              <w:rPr>
                <w:rFonts w:hint="eastAsia"/>
                <w:sz w:val="24"/>
                <w:highlight w:val="none"/>
              </w:rPr>
              <w:t xml:space="preserve">清单和彩色图片，自有车辆需提供购置</w:t>
            </w:r>
            <w:r>
              <w:rPr>
                <w:rFonts w:hint="eastAsia"/>
                <w:sz w:val="24"/>
                <w:highlight w:val="none"/>
                <w:lang w:val="en-US" w:eastAsia="zh-CN"/>
              </w:rPr>
              <w:t xml:space="preserve">冷链运输车</w:t>
            </w:r>
            <w:r>
              <w:rPr>
                <w:rFonts w:hint="eastAsia"/>
                <w:sz w:val="24"/>
                <w:highlight w:val="none"/>
              </w:rPr>
              <w:t xml:space="preserve">发票及车辆行驶证扫描件均加盖</w:t>
            </w:r>
            <w:r>
              <w:rPr>
                <w:rFonts w:hint="eastAsia" w:ascii="宋体" w:hAnsi="宋体" w:cs="宋体"/>
                <w:sz w:val="24"/>
                <w:highlight w:val="none"/>
              </w:rPr>
              <w:t xml:space="preserve">供应商</w:t>
            </w:r>
            <w:r>
              <w:rPr>
                <w:rFonts w:hint="eastAsia"/>
                <w:sz w:val="24"/>
                <w:highlight w:val="none"/>
              </w:rPr>
              <w:t xml:space="preserve">公章，否则该项不得分。</w:t>
            </w:r>
            <w:r>
              <w:rPr>
                <w:rFonts w:hint="eastAsia"/>
                <w:sz w:val="24"/>
                <w:highlight w:val="none"/>
              </w:rPr>
            </w:r>
            <w:r/>
          </w:p>
          <w:p>
            <w:pPr>
              <w:pStyle w:val="1070"/>
              <w:tabs>
                <w:tab w:val="left" w:pos="567" w:leader="none"/>
              </w:tabs>
              <w:rPr>
                <w:rFonts w:eastAsia="宋体"/>
                <w:highlight w:val="none"/>
                <w:lang w:val="en-US" w:eastAsia="zh-CN"/>
              </w:rPr>
            </w:pPr>
            <w:r>
              <w:rPr>
                <w:rFonts w:hint="eastAsia"/>
                <w:sz w:val="24"/>
                <w:highlight w:val="none"/>
                <w:lang w:val="en-US" w:eastAsia="zh-CN"/>
              </w:rPr>
              <w:t xml:space="preserve">租赁车辆须提供上述资料以外还须提供租赁合同。</w:t>
            </w:r>
            <w:r>
              <w:rPr>
                <w:rFonts w:eastAsia="宋体"/>
                <w:highlight w:val="none"/>
                <w:lang w:val="en-US" w:eastAsia="zh-CN"/>
              </w:rPr>
            </w:r>
            <w:r/>
          </w:p>
        </w:tc>
      </w:tr>
      <w:tr>
        <w:trPr>
          <w:trHeight w:val="652"/>
        </w:trPr>
        <w:tc>
          <w:tcPr>
            <w:tcW w:w="771" w:type="dxa"/>
            <w:vAlign w:val="center"/>
            <w:textDirection w:val="lrTb"/>
            <w:noWrap w:val="false"/>
          </w:tcPr>
          <w:p>
            <w:pPr>
              <w:pStyle w:val="1039"/>
              <w:ind w:firstLine="28"/>
              <w:jc w:val="center"/>
              <w:spacing w:line="276" w:lineRule="auto"/>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3</w:t>
            </w:r>
            <w:r>
              <w:rPr>
                <w:rFonts w:hint="eastAsia" w:eastAsia="宋体"/>
                <w:sz w:val="24"/>
                <w:highlight w:val="none"/>
                <w:lang w:eastAsia="zh-CN"/>
              </w:rPr>
            </w:r>
            <w:r/>
          </w:p>
        </w:tc>
        <w:tc>
          <w:tcPr>
            <w:tcW w:w="1351" w:type="dxa"/>
            <w:vAlign w:val="center"/>
            <w:textDirection w:val="lrTb"/>
            <w:noWrap w:val="false"/>
          </w:tcPr>
          <w:p>
            <w:pPr>
              <w:pStyle w:val="1039"/>
              <w:ind w:firstLine="28"/>
              <w:jc w:val="left"/>
              <w:spacing w:line="276" w:lineRule="auto"/>
              <w:rPr>
                <w:sz w:val="24"/>
                <w:highlight w:val="none"/>
              </w:rPr>
            </w:pPr>
            <w:r>
              <w:rPr>
                <w:rFonts w:hint="eastAsia"/>
                <w:sz w:val="24"/>
                <w:highlight w:val="none"/>
              </w:rPr>
              <w:t xml:space="preserve">检测室及</w:t>
            </w:r>
            <w:r>
              <w:rPr>
                <w:sz w:val="24"/>
                <w:highlight w:val="none"/>
              </w:rPr>
            </w:r>
            <w:r/>
          </w:p>
          <w:p>
            <w:pPr>
              <w:pStyle w:val="1039"/>
              <w:ind w:firstLine="28"/>
              <w:jc w:val="left"/>
              <w:spacing w:line="276" w:lineRule="auto"/>
              <w:rPr>
                <w:rFonts w:hint="eastAsia"/>
                <w:sz w:val="24"/>
                <w:highlight w:val="none"/>
              </w:rPr>
            </w:pPr>
            <w:r>
              <w:rPr>
                <w:rFonts w:hint="eastAsia"/>
                <w:sz w:val="24"/>
                <w:highlight w:val="none"/>
              </w:rPr>
              <w:t xml:space="preserve">人员</w:t>
            </w:r>
            <w:r>
              <w:rPr>
                <w:rFonts w:hint="eastAsia"/>
                <w:sz w:val="24"/>
                <w:highlight w:val="none"/>
              </w:rPr>
            </w:r>
            <w:r/>
          </w:p>
        </w:tc>
        <w:tc>
          <w:tcPr>
            <w:tcW w:w="844" w:type="dxa"/>
            <w:vAlign w:val="center"/>
            <w:textDirection w:val="lrTb"/>
            <w:noWrap w:val="false"/>
          </w:tcPr>
          <w:p>
            <w:pPr>
              <w:pStyle w:val="1039"/>
              <w:ind w:firstLine="28"/>
              <w:jc w:val="center"/>
              <w:spacing w:line="276" w:lineRule="auto"/>
              <w:rPr>
                <w:rFonts w:hint="eastAsia" w:eastAsia="宋体"/>
                <w:sz w:val="24"/>
                <w:highlight w:val="none"/>
                <w:lang w:eastAsia="zh-CN"/>
              </w:rPr>
            </w:pPr>
            <w:r>
              <w:rPr>
                <w:rFonts w:hint="eastAsia"/>
                <w:sz w:val="24"/>
                <w:highlight w:val="none"/>
                <w:lang w:val="en-US" w:eastAsia="zh-CN"/>
              </w:rPr>
              <w:t xml:space="preserve">5</w:t>
            </w:r>
            <w:r>
              <w:rPr>
                <w:rFonts w:hint="eastAsia" w:eastAsia="宋体"/>
                <w:sz w:val="24"/>
                <w:highlight w:val="none"/>
                <w:lang w:eastAsia="zh-CN"/>
              </w:rPr>
            </w:r>
            <w:r/>
          </w:p>
        </w:tc>
        <w:tc>
          <w:tcPr>
            <w:tcW w:w="3766" w:type="dxa"/>
            <w:vAlign w:val="center"/>
            <w:textDirection w:val="lrTb"/>
            <w:noWrap w:val="false"/>
          </w:tcPr>
          <w:p>
            <w:pPr>
              <w:pStyle w:val="1039"/>
              <w:ind w:firstLine="28"/>
              <w:jc w:val="left"/>
              <w:spacing w:line="276" w:lineRule="auto"/>
              <w:rPr>
                <w:sz w:val="24"/>
                <w:highlight w:val="none"/>
              </w:rPr>
            </w:pPr>
            <w:r>
              <w:rPr>
                <w:rFonts w:hint="eastAsia"/>
                <w:sz w:val="24"/>
                <w:highlight w:val="none"/>
              </w:rPr>
              <w:t xml:space="preserve">1、供应商在加工经营场所内配备快检室和相应的专业检测设备，检测人员能开展农药残留等项目的快速检测的得2分；快检数据应能即时上传至</w:t>
            </w:r>
            <w:r>
              <w:rPr>
                <w:rFonts w:hint="eastAsia"/>
                <w:sz w:val="24"/>
                <w:highlight w:val="none"/>
                <w:lang w:val="en-US" w:eastAsia="zh-CN"/>
              </w:rPr>
              <w:t xml:space="preserve">省市</w:t>
            </w:r>
            <w:r>
              <w:rPr>
                <w:rFonts w:hint="eastAsia"/>
                <w:sz w:val="24"/>
                <w:highlight w:val="none"/>
              </w:rPr>
              <w:t xml:space="preserve">市场监督局或农业农村局（含各区县）的得</w:t>
            </w:r>
            <w:r>
              <w:rPr>
                <w:rFonts w:hint="eastAsia"/>
                <w:sz w:val="24"/>
                <w:highlight w:val="none"/>
                <w:lang w:val="en-US" w:eastAsia="zh-CN"/>
              </w:rPr>
              <w:t xml:space="preserve">2</w:t>
            </w:r>
            <w:r>
              <w:rPr>
                <w:rFonts w:hint="eastAsia"/>
                <w:sz w:val="24"/>
                <w:highlight w:val="none"/>
              </w:rPr>
              <w:t xml:space="preserve">分；最高得</w:t>
            </w:r>
            <w:r>
              <w:rPr>
                <w:rFonts w:hint="eastAsia"/>
                <w:sz w:val="24"/>
                <w:highlight w:val="none"/>
                <w:lang w:val="en-US" w:eastAsia="zh-CN"/>
              </w:rPr>
              <w:t xml:space="preserve">4</w:t>
            </w:r>
            <w:r>
              <w:rPr>
                <w:rFonts w:hint="eastAsia"/>
                <w:sz w:val="24"/>
                <w:highlight w:val="none"/>
              </w:rPr>
              <w:t xml:space="preserve">分。</w:t>
            </w:r>
            <w:r>
              <w:rPr>
                <w:sz w:val="24"/>
                <w:highlight w:val="none"/>
              </w:rPr>
            </w:r>
            <w:r/>
          </w:p>
          <w:p>
            <w:pPr>
              <w:pStyle w:val="1039"/>
              <w:ind w:firstLine="28"/>
              <w:jc w:val="left"/>
              <w:spacing w:line="276" w:lineRule="auto"/>
              <w:rPr>
                <w:rFonts w:hint="eastAsia"/>
                <w:sz w:val="24"/>
                <w:highlight w:val="none"/>
              </w:rPr>
            </w:pPr>
            <w:r>
              <w:rPr>
                <w:rFonts w:hint="eastAsia"/>
                <w:sz w:val="24"/>
                <w:highlight w:val="none"/>
              </w:rPr>
              <w:t xml:space="preserve">2、</w:t>
            </w:r>
            <w:r>
              <w:rPr>
                <w:rFonts w:hint="eastAsia"/>
                <w:sz w:val="24"/>
                <w:highlight w:val="none"/>
                <w:lang w:val="en-US" w:eastAsia="zh-CN"/>
              </w:rPr>
              <w:t xml:space="preserve">检测人员</w:t>
            </w:r>
            <w:r>
              <w:rPr>
                <w:rFonts w:hint="eastAsia"/>
                <w:sz w:val="24"/>
                <w:highlight w:val="none"/>
              </w:rPr>
              <w:t xml:space="preserve">具有农产品检测员证书</w:t>
            </w:r>
            <w:r>
              <w:rPr>
                <w:rFonts w:hint="eastAsia"/>
                <w:sz w:val="24"/>
                <w:highlight w:val="none"/>
                <w:lang w:val="en-US" w:eastAsia="zh-CN"/>
              </w:rPr>
              <w:t xml:space="preserve">或农产品食品检验员证书</w:t>
            </w:r>
            <w:r>
              <w:rPr>
                <w:rFonts w:hint="eastAsia"/>
                <w:sz w:val="24"/>
                <w:highlight w:val="none"/>
              </w:rPr>
              <w:t xml:space="preserve">的得1分</w:t>
            </w:r>
            <w:r>
              <w:rPr>
                <w:rFonts w:hint="eastAsia"/>
                <w:sz w:val="24"/>
                <w:highlight w:val="none"/>
              </w:rPr>
              <w:t xml:space="preserve">。</w:t>
            </w:r>
            <w:r>
              <w:rPr>
                <w:rFonts w:hint="eastAsia"/>
                <w:sz w:val="24"/>
                <w:highlight w:val="none"/>
              </w:rPr>
            </w:r>
            <w:r/>
          </w:p>
        </w:tc>
        <w:tc>
          <w:tcPr>
            <w:tcW w:w="1636" w:type="dxa"/>
            <w:vAlign w:val="center"/>
            <w:textDirection w:val="lrTb"/>
            <w:noWrap w:val="false"/>
          </w:tcPr>
          <w:p>
            <w:pPr>
              <w:pStyle w:val="1039"/>
              <w:ind w:firstLine="28"/>
              <w:jc w:val="left"/>
              <w:spacing w:line="276" w:lineRule="auto"/>
              <w:rPr>
                <w:sz w:val="24"/>
                <w:highlight w:val="none"/>
              </w:rPr>
            </w:pPr>
            <w:r>
              <w:rPr>
                <w:rFonts w:hint="eastAsia"/>
                <w:sz w:val="24"/>
                <w:highlight w:val="none"/>
              </w:rPr>
              <w:t xml:space="preserve">1、需提供检测室设备照片、设备购置发票扫描件及检测数据上传至市场监督局或农业农村局平台的截图，并加盖</w:t>
            </w:r>
            <w:r>
              <w:rPr>
                <w:rFonts w:hint="eastAsia" w:ascii="宋体" w:hAnsi="宋体" w:cs="宋体"/>
                <w:sz w:val="24"/>
                <w:highlight w:val="none"/>
              </w:rPr>
              <w:t xml:space="preserve">供应商</w:t>
            </w:r>
            <w:r>
              <w:rPr>
                <w:rFonts w:hint="eastAsia"/>
                <w:sz w:val="24"/>
                <w:highlight w:val="none"/>
              </w:rPr>
              <w:t xml:space="preserve">公章，否则不得分。</w:t>
            </w:r>
            <w:r>
              <w:rPr>
                <w:sz w:val="24"/>
                <w:highlight w:val="none"/>
              </w:rPr>
            </w:r>
            <w:r/>
          </w:p>
          <w:p>
            <w:pPr>
              <w:pStyle w:val="1039"/>
              <w:ind w:firstLine="28"/>
              <w:jc w:val="left"/>
              <w:spacing w:line="276" w:lineRule="auto"/>
              <w:rPr>
                <w:rFonts w:hint="eastAsia"/>
                <w:sz w:val="24"/>
                <w:highlight w:val="none"/>
              </w:rPr>
            </w:pPr>
            <w:r>
              <w:rPr>
                <w:rFonts w:hint="eastAsia"/>
                <w:sz w:val="24"/>
                <w:highlight w:val="none"/>
              </w:rPr>
              <w:t xml:space="preserve">2、需提供检测员证书扫描件及供应商为检测员缴纳的近期社保证明材料，并加盖</w:t>
            </w:r>
            <w:r>
              <w:rPr>
                <w:rFonts w:hint="eastAsia" w:ascii="宋体" w:hAnsi="宋体" w:cs="宋体"/>
                <w:sz w:val="24"/>
                <w:highlight w:val="none"/>
              </w:rPr>
              <w:t xml:space="preserve">供应商</w:t>
            </w:r>
            <w:r>
              <w:rPr>
                <w:rFonts w:hint="eastAsia"/>
                <w:sz w:val="24"/>
                <w:highlight w:val="none"/>
              </w:rPr>
              <w:t xml:space="preserve">公章，否则不得分。</w:t>
            </w:r>
            <w:r>
              <w:rPr>
                <w:rFonts w:hint="eastAsia"/>
                <w:sz w:val="24"/>
                <w:highlight w:val="none"/>
              </w:rPr>
            </w:r>
            <w:r/>
          </w:p>
        </w:tc>
      </w:tr>
      <w:tr>
        <w:trPr>
          <w:trHeight w:val="1027"/>
        </w:trPr>
        <w:tc>
          <w:tcPr>
            <w:tcW w:w="771" w:type="dxa"/>
            <w:vAlign w:val="center"/>
            <w:textDirection w:val="lrTb"/>
            <w:noWrap w:val="false"/>
          </w:tcPr>
          <w:p>
            <w:pPr>
              <w:pStyle w:val="1039"/>
              <w:ind w:firstLine="28"/>
              <w:jc w:val="center"/>
              <w:spacing w:line="276" w:lineRule="auto"/>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4</w:t>
            </w:r>
            <w:r>
              <w:rPr>
                <w:rFonts w:hint="eastAsia" w:eastAsia="宋体"/>
                <w:sz w:val="24"/>
                <w:highlight w:val="none"/>
                <w:lang w:eastAsia="zh-CN"/>
              </w:rPr>
            </w:r>
            <w:r/>
          </w:p>
        </w:tc>
        <w:tc>
          <w:tcPr>
            <w:tcW w:w="1351" w:type="dxa"/>
            <w:vAlign w:val="center"/>
            <w:textDirection w:val="lrTb"/>
            <w:noWrap w:val="false"/>
          </w:tcPr>
          <w:p>
            <w:pPr>
              <w:pStyle w:val="1039"/>
              <w:ind w:firstLine="28"/>
              <w:jc w:val="center"/>
              <w:spacing w:line="276" w:lineRule="auto"/>
              <w:rPr>
                <w:rFonts w:hint="eastAsia"/>
                <w:sz w:val="24"/>
                <w:highlight w:val="none"/>
              </w:rPr>
            </w:pPr>
            <w:r>
              <w:rPr>
                <w:rFonts w:hint="eastAsia"/>
                <w:sz w:val="24"/>
                <w:highlight w:val="none"/>
              </w:rPr>
              <w:t xml:space="preserve">类似业绩</w:t>
            </w:r>
            <w:r>
              <w:rPr>
                <w:rFonts w:hint="eastAsia"/>
                <w:sz w:val="24"/>
                <w:highlight w:val="none"/>
              </w:rPr>
            </w:r>
            <w:r/>
          </w:p>
        </w:tc>
        <w:tc>
          <w:tcPr>
            <w:tcW w:w="844" w:type="dxa"/>
            <w:vAlign w:val="center"/>
            <w:textDirection w:val="lrTb"/>
            <w:noWrap w:val="false"/>
          </w:tcPr>
          <w:p>
            <w:pPr>
              <w:pStyle w:val="1039"/>
              <w:ind w:firstLine="28"/>
              <w:jc w:val="center"/>
              <w:spacing w:line="276" w:lineRule="auto"/>
              <w:rPr>
                <w:rFonts w:hint="eastAsia" w:eastAsia="宋体"/>
                <w:color w:val="0000ff"/>
                <w:sz w:val="24"/>
                <w:highlight w:val="none"/>
                <w:lang w:eastAsia="zh-CN"/>
              </w:rPr>
            </w:pPr>
            <w:r>
              <w:rPr>
                <w:rFonts w:hint="eastAsia"/>
                <w:sz w:val="24"/>
                <w:highlight w:val="none"/>
                <w:lang w:val="en-US" w:eastAsia="zh-CN"/>
              </w:rPr>
              <w:t xml:space="preserve">3</w:t>
            </w:r>
            <w:r>
              <w:rPr>
                <w:rFonts w:hint="eastAsia" w:eastAsia="宋体"/>
                <w:color w:val="0000ff"/>
                <w:sz w:val="24"/>
                <w:highlight w:val="none"/>
                <w:lang w:eastAsia="zh-CN"/>
              </w:rPr>
            </w:r>
            <w:r/>
          </w:p>
        </w:tc>
        <w:tc>
          <w:tcPr>
            <w:tcW w:w="3766" w:type="dxa"/>
            <w:vAlign w:val="center"/>
            <w:textDirection w:val="lrTb"/>
            <w:noWrap w:val="false"/>
          </w:tcPr>
          <w:p>
            <w:pPr>
              <w:pStyle w:val="1039"/>
              <w:spacing w:line="276" w:lineRule="auto"/>
              <w:rPr>
                <w:rFonts w:ascii="宋体" w:hAnsi="宋体" w:cs="宋体"/>
                <w:color w:val="0000ff"/>
                <w:sz w:val="24"/>
                <w:highlight w:val="none"/>
              </w:rPr>
            </w:pPr>
            <w:r>
              <w:rPr>
                <w:rFonts w:hint="eastAsia" w:ascii="宋体" w:hAnsi="宋体" w:cs="宋体"/>
                <w:sz w:val="24"/>
                <w:highlight w:val="none"/>
              </w:rPr>
              <w:t xml:space="preserve">供应商自20</w:t>
            </w:r>
            <w:r>
              <w:rPr>
                <w:rFonts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月1日以来（以合同签订时间为准）承担过类似食堂食材配送业绩的有一项得1分，最高得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ascii="宋体" w:hAnsi="宋体" w:cs="宋体"/>
                <w:color w:val="0000ff"/>
                <w:sz w:val="24"/>
                <w:highlight w:val="none"/>
              </w:rPr>
            </w:r>
            <w:r/>
          </w:p>
        </w:tc>
        <w:tc>
          <w:tcPr>
            <w:tcW w:w="1636" w:type="dxa"/>
            <w:vAlign w:val="center"/>
            <w:textDirection w:val="lrTb"/>
            <w:noWrap w:val="false"/>
          </w:tcPr>
          <w:p>
            <w:pPr>
              <w:pStyle w:val="1039"/>
              <w:ind w:left="-38"/>
              <w:spacing w:line="276" w:lineRule="auto"/>
              <w:rPr>
                <w:sz w:val="24"/>
                <w:highlight w:val="none"/>
              </w:rPr>
            </w:pPr>
            <w:r>
              <w:rPr>
                <w:rFonts w:hint="eastAsia" w:ascii="宋体" w:hAnsi="宋体" w:cs="宋体"/>
                <w:sz w:val="24"/>
                <w:highlight w:val="none"/>
              </w:rPr>
              <w:t xml:space="preserve">注：提供合同扫描件并加盖公章。时间以合同签订时间为准。合同履约期不得少于1年。未提供不得分</w:t>
            </w:r>
            <w:r>
              <w:rPr>
                <w:sz w:val="24"/>
                <w:highlight w:val="none"/>
              </w:rPr>
            </w:r>
            <w:r/>
          </w:p>
        </w:tc>
      </w:tr>
      <w:tr>
        <w:trPr>
          <w:trHeight w:val="1027"/>
        </w:trPr>
        <w:tc>
          <w:tcPr>
            <w:tcW w:w="771" w:type="dxa"/>
            <w:vAlign w:val="center"/>
            <w:textDirection w:val="lrTb"/>
            <w:noWrap w:val="false"/>
          </w:tcPr>
          <w:p>
            <w:pPr>
              <w:pStyle w:val="1039"/>
              <w:ind w:firstLine="28"/>
              <w:jc w:val="center"/>
              <w:spacing w:line="276" w:lineRule="auto"/>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5</w:t>
            </w:r>
            <w:r>
              <w:rPr>
                <w:rFonts w:hint="eastAsia" w:eastAsia="宋体"/>
                <w:sz w:val="24"/>
                <w:highlight w:val="none"/>
                <w:lang w:eastAsia="zh-CN"/>
              </w:rPr>
            </w:r>
            <w:r/>
          </w:p>
        </w:tc>
        <w:tc>
          <w:tcPr>
            <w:tcW w:w="1351" w:type="dxa"/>
            <w:vAlign w:val="center"/>
            <w:textDirection w:val="lrTb"/>
            <w:noWrap w:val="false"/>
          </w:tcPr>
          <w:p>
            <w:pPr>
              <w:pStyle w:val="1039"/>
              <w:ind w:firstLine="28"/>
              <w:jc w:val="center"/>
              <w:spacing w:line="276" w:lineRule="auto"/>
              <w:rPr>
                <w:rFonts w:hint="eastAsia"/>
                <w:sz w:val="24"/>
                <w:highlight w:val="none"/>
              </w:rPr>
            </w:pPr>
            <w:r>
              <w:rPr>
                <w:rFonts w:hint="eastAsia"/>
                <w:sz w:val="24"/>
                <w:highlight w:val="none"/>
              </w:rPr>
              <w:t xml:space="preserve">拟投入人员情况</w:t>
            </w:r>
            <w:r>
              <w:rPr>
                <w:rFonts w:hint="eastAsia"/>
                <w:sz w:val="24"/>
                <w:highlight w:val="none"/>
              </w:rPr>
            </w:r>
            <w:r/>
          </w:p>
        </w:tc>
        <w:tc>
          <w:tcPr>
            <w:tcW w:w="844" w:type="dxa"/>
            <w:vAlign w:val="center"/>
            <w:textDirection w:val="lrTb"/>
            <w:noWrap w:val="false"/>
          </w:tcPr>
          <w:p>
            <w:pPr>
              <w:pStyle w:val="1039"/>
              <w:ind w:firstLine="28"/>
              <w:jc w:val="center"/>
              <w:spacing w:line="276" w:lineRule="auto"/>
              <w:rPr>
                <w:rFonts w:hint="eastAsia"/>
                <w:sz w:val="24"/>
                <w:highlight w:val="none"/>
              </w:rPr>
            </w:pPr>
            <w:r>
              <w:rPr>
                <w:rFonts w:hint="eastAsia"/>
                <w:sz w:val="24"/>
                <w:highlight w:val="none"/>
              </w:rPr>
              <w:t xml:space="preserve">5</w:t>
            </w:r>
            <w:r>
              <w:rPr>
                <w:rFonts w:hint="eastAsia"/>
                <w:sz w:val="24"/>
                <w:highlight w:val="none"/>
              </w:rPr>
            </w:r>
            <w:r/>
          </w:p>
        </w:tc>
        <w:tc>
          <w:tcPr>
            <w:tcW w:w="3766" w:type="dxa"/>
            <w:vAlign w:val="center"/>
            <w:textDirection w:val="lrTb"/>
            <w:noWrap w:val="false"/>
          </w:tcPr>
          <w:p>
            <w:pPr>
              <w:pStyle w:val="1039"/>
              <w:spacing w:line="276" w:lineRule="auto"/>
              <w:rPr>
                <w:rFonts w:hint="eastAsia" w:ascii="宋体" w:hAnsi="宋体" w:cs="宋体"/>
                <w:sz w:val="24"/>
                <w:highlight w:val="none"/>
              </w:rPr>
            </w:pPr>
            <w:r>
              <w:rPr>
                <w:rFonts w:hint="eastAsia" w:ascii="宋体" w:hAnsi="宋体" w:cs="宋体"/>
                <w:sz w:val="24"/>
                <w:highlight w:val="none"/>
              </w:rPr>
              <w:t xml:space="preserve">1、项目负责人具有食品安全管理证书的，得2分；</w:t>
            </w:r>
            <w:r>
              <w:rPr>
                <w:rFonts w:hint="eastAsia" w:ascii="宋体" w:hAnsi="宋体" w:cs="宋体"/>
                <w:sz w:val="24"/>
                <w:highlight w:val="none"/>
              </w:rPr>
            </w:r>
            <w:r/>
          </w:p>
          <w:p>
            <w:pPr>
              <w:pStyle w:val="1039"/>
              <w:spacing w:line="276" w:lineRule="auto"/>
              <w:rPr>
                <w:rFonts w:ascii="宋体" w:hAnsi="宋体" w:cs="宋体"/>
                <w:sz w:val="24"/>
                <w:highlight w:val="none"/>
              </w:rPr>
            </w:pPr>
            <w:r>
              <w:rPr>
                <w:rFonts w:hint="eastAsia" w:ascii="宋体" w:hAnsi="宋体" w:cs="宋体"/>
                <w:sz w:val="24"/>
                <w:highlight w:val="none"/>
              </w:rPr>
              <w:t xml:space="preserve">2、供应商拟配备的人员（不含项目负责人），每有1人得0.5分，最高得3分。</w:t>
            </w:r>
            <w:r>
              <w:rPr>
                <w:rFonts w:ascii="宋体" w:hAnsi="宋体" w:cs="宋体"/>
                <w:sz w:val="24"/>
                <w:highlight w:val="none"/>
              </w:rPr>
            </w:r>
            <w:r/>
          </w:p>
          <w:p>
            <w:pPr>
              <w:pStyle w:val="1039"/>
              <w:ind w:firstLine="480"/>
              <w:spacing w:line="276" w:lineRule="auto"/>
              <w:rPr>
                <w:rFonts w:hint="eastAsia" w:ascii="宋体" w:hAnsi="宋体" w:cs="宋体"/>
                <w:sz w:val="24"/>
                <w:highlight w:val="none"/>
              </w:rPr>
            </w:pPr>
            <w:r>
              <w:rPr>
                <w:rFonts w:hint="eastAsia" w:ascii="宋体" w:hAnsi="宋体" w:cs="宋体"/>
                <w:sz w:val="24"/>
                <w:highlight w:val="none"/>
              </w:rPr>
            </w:r>
            <w:r/>
          </w:p>
        </w:tc>
        <w:tc>
          <w:tcPr>
            <w:tcW w:w="1636" w:type="dxa"/>
            <w:vAlign w:val="center"/>
            <w:textDirection w:val="lrTb"/>
            <w:noWrap w:val="false"/>
          </w:tcPr>
          <w:p>
            <w:pPr>
              <w:pStyle w:val="1039"/>
              <w:ind w:left="-38"/>
              <w:spacing w:line="276" w:lineRule="auto"/>
              <w:rPr>
                <w:rFonts w:hint="eastAsia"/>
                <w:sz w:val="24"/>
                <w:highlight w:val="none"/>
              </w:rPr>
            </w:pPr>
            <w:r>
              <w:rPr>
                <w:rFonts w:hint="eastAsia"/>
                <w:sz w:val="24"/>
                <w:highlight w:val="none"/>
              </w:rPr>
              <w:t xml:space="preserve">注：</w:t>
            </w:r>
            <w:r>
              <w:rPr>
                <w:rFonts w:hint="eastAsia" w:ascii="宋体" w:hAnsi="宋体" w:cs="宋体"/>
                <w:sz w:val="24"/>
                <w:highlight w:val="none"/>
              </w:rPr>
              <w:t xml:space="preserve">响应文件</w:t>
            </w:r>
            <w:r>
              <w:rPr>
                <w:rFonts w:hint="eastAsia"/>
                <w:sz w:val="24"/>
                <w:highlight w:val="none"/>
              </w:rPr>
              <w:t xml:space="preserve">中须提供拟投入人员的相关证书及有效的身份证、健康证扫描件，</w:t>
            </w:r>
            <w:r>
              <w:rPr>
                <w:rFonts w:hint="eastAsia" w:ascii="宋体" w:hAnsi="宋体" w:cs="宋体"/>
                <w:sz w:val="24"/>
                <w:highlight w:val="none"/>
              </w:rPr>
              <w:t xml:space="preserve">供应商</w:t>
            </w:r>
            <w:r>
              <w:rPr>
                <w:rFonts w:hint="eastAsia"/>
                <w:sz w:val="24"/>
                <w:highlight w:val="none"/>
              </w:rPr>
              <w:t xml:space="preserve">为以上人员缴纳的近期社保证明材料，并加盖社保部门签章或电子签章），扫描件均加盖</w:t>
            </w:r>
            <w:r>
              <w:rPr>
                <w:rFonts w:hint="eastAsia" w:ascii="宋体" w:hAnsi="宋体" w:cs="宋体"/>
                <w:sz w:val="24"/>
                <w:highlight w:val="none"/>
              </w:rPr>
              <w:t xml:space="preserve">供应商</w:t>
            </w:r>
            <w:r>
              <w:rPr>
                <w:rFonts w:hint="eastAsia"/>
                <w:sz w:val="24"/>
                <w:highlight w:val="none"/>
              </w:rPr>
              <w:t xml:space="preserve">公章，否则不得分。</w:t>
            </w:r>
            <w:r>
              <w:rPr>
                <w:rFonts w:hint="eastAsia"/>
                <w:sz w:val="24"/>
                <w:highlight w:val="none"/>
              </w:rPr>
            </w:r>
            <w:r/>
          </w:p>
        </w:tc>
      </w:tr>
      <w:tr>
        <w:trPr>
          <w:trHeight w:val="456"/>
        </w:trPr>
        <w:tc>
          <w:tcPr>
            <w:gridSpan w:val="2"/>
            <w:tcW w:w="2122"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844" w:type="dxa"/>
            <w:vAlign w:val="center"/>
            <w:textDirection w:val="lrTb"/>
            <w:noWrap w:val="false"/>
          </w:tcPr>
          <w:p>
            <w:pPr>
              <w:pStyle w:val="1039"/>
              <w:ind w:firstLine="28"/>
              <w:jc w:val="center"/>
              <w:spacing w:line="360" w:lineRule="auto"/>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5402" w:type="dxa"/>
            <w:vAlign w:val="center"/>
            <w:textDirection w:val="lrTb"/>
            <w:noWrap w:val="false"/>
          </w:tcPr>
          <w:p>
            <w:pPr>
              <w:pStyle w:val="1039"/>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1039"/>
        <w:ind w:left="1080"/>
        <w:spacing w:line="360" w:lineRule="auto"/>
        <w:tabs>
          <w:tab w:val="left" w:pos="360" w:leader="none"/>
          <w:tab w:val="left" w:pos="1080" w:leader="none"/>
        </w:tabs>
        <w:rPr>
          <w:sz w:val="24"/>
          <w:highlight w:val="none"/>
        </w:rPr>
      </w:pPr>
      <w:r>
        <w:rPr>
          <w:sz w:val="24"/>
          <w:highlight w:val="none"/>
        </w:rPr>
      </w:r>
      <w:r/>
    </w:p>
    <w:p>
      <w:pPr>
        <w:pStyle w:val="1290"/>
        <w:ind w:firstLine="472"/>
        <w:spacing w:before="0" w:beforeAutospacing="0" w:after="0" w:afterAutospacing="0" w:line="276" w:lineRule="auto"/>
        <w:rPr>
          <w:b/>
          <w:bCs/>
          <w:highlight w:val="none"/>
        </w:rPr>
      </w:pPr>
      <w:r>
        <w:rPr>
          <w:rFonts w:hint="eastAsia"/>
          <w:b/>
          <w:bCs/>
          <w:highlight w:val="none"/>
        </w:rPr>
        <w:t xml:space="preserve">注：1、上述证明材料均须提供原件扫描件并加盖单位电子公章，不提供不得分。</w:t>
      </w:r>
      <w:r>
        <w:rPr>
          <w:b/>
          <w:bCs/>
          <w:highlight w:val="none"/>
        </w:rPr>
      </w:r>
      <w:r/>
    </w:p>
    <w:p>
      <w:pPr>
        <w:pStyle w:val="1290"/>
        <w:ind w:firstLine="472"/>
        <w:spacing w:before="0" w:beforeAutospacing="0" w:after="0" w:afterAutospacing="0" w:line="276" w:lineRule="auto"/>
        <w:rPr>
          <w:b/>
          <w:bCs/>
          <w:highlight w:val="none"/>
        </w:rPr>
      </w:pPr>
      <w:r>
        <w:rPr>
          <w:rFonts w:hint="eastAsia"/>
          <w:b/>
          <w:bCs/>
          <w:highlight w:val="none"/>
        </w:rPr>
        <w:t xml:space="preserve">2、评标办法中所需材料均应真实、有效，如发现供应商涉嫌资料造假等，采购人将有权取消其成交资格，并保留进一步追究其法律责任的权利。</w:t>
      </w:r>
      <w:r>
        <w:rPr>
          <w:b/>
          <w:bCs/>
          <w:highlight w:val="none"/>
        </w:rPr>
      </w:r>
      <w:r/>
    </w:p>
    <w:p>
      <w:pPr>
        <w:pStyle w:val="1039"/>
        <w:jc w:val="center"/>
        <w:spacing w:line="360" w:lineRule="auto"/>
        <w:rPr>
          <w:b/>
          <w:sz w:val="36"/>
          <w:szCs w:val="36"/>
          <w:highlight w:val="none"/>
        </w:rPr>
        <w:outlineLvl w:val="0"/>
      </w:pPr>
      <w:r>
        <w:rPr>
          <w:b/>
          <w:sz w:val="36"/>
          <w:szCs w:val="36"/>
          <w:highlight w:val="none"/>
        </w:rPr>
        <w:br w:type="page" w:clear="all"/>
      </w:r>
      <w:bookmarkStart w:id="671" w:name="_Toc99301424"/>
      <w:r>
        <w:rPr>
          <w:b/>
          <w:sz w:val="36"/>
          <w:szCs w:val="36"/>
          <w:highlight w:val="none"/>
        </w:rPr>
        <w:t xml:space="preserve">第五章   采购需求</w:t>
      </w:r>
      <w:bookmarkEnd w:id="671"/>
      <w:r>
        <w:rPr>
          <w:b/>
          <w:sz w:val="36"/>
          <w:szCs w:val="36"/>
          <w:highlight w:val="none"/>
        </w:rPr>
      </w:r>
      <w:r/>
    </w:p>
    <w:p>
      <w:pPr>
        <w:pStyle w:val="1134"/>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1039"/>
        <w:numPr>
          <w:ilvl w:val="0"/>
          <w:numId w:val="13"/>
        </w:numPr>
        <w:contextualSpacing/>
        <w:spacing w:line="360" w:lineRule="auto"/>
        <w:rPr>
          <w:rFonts w:hint="eastAsia"/>
          <w:bCs/>
          <w:sz w:val="24"/>
          <w:highlight w:val="none"/>
        </w:rPr>
      </w:pPr>
      <w:r>
        <w:rPr>
          <w:bCs/>
          <w:sz w:val="24"/>
          <w:highlight w:val="none"/>
        </w:rPr>
        <w:t xml:space="preserve">项目概述</w:t>
      </w:r>
      <w:r>
        <w:rPr>
          <w:rFonts w:hint="eastAsia"/>
          <w:bCs/>
          <w:sz w:val="24"/>
          <w:highlight w:val="none"/>
        </w:rPr>
        <w:t xml:space="preserve">：采购食堂所需各类食材、辅料等，并提供配送服务。采购的食材类别主要包括畜禽类、水产品类、果蔬类、乳及乳制品类、蛋及制品类、豆制品类、干货类、粮油类、调料类等。</w:t>
      </w:r>
      <w:r>
        <w:rPr>
          <w:rFonts w:hint="eastAsia"/>
          <w:bCs/>
          <w:sz w:val="24"/>
          <w:highlight w:val="none"/>
        </w:rPr>
      </w:r>
      <w:r/>
    </w:p>
    <w:p>
      <w:pPr>
        <w:pStyle w:val="1134"/>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1039"/>
        <w:numPr>
          <w:ilvl w:val="0"/>
          <w:numId w:val="14"/>
        </w:numPr>
        <w:contextualSpacing/>
        <w:ind w:left="-60" w:firstLine="480"/>
        <w:spacing w:line="360" w:lineRule="auto"/>
        <w:rPr>
          <w:rFonts w:hint="eastAsia"/>
          <w:sz w:val="24"/>
          <w:highlight w:val="none"/>
        </w:rPr>
      </w:pPr>
      <w:r>
        <w:rPr>
          <w:rFonts w:hint="eastAsia"/>
          <w:sz w:val="24"/>
          <w:highlight w:val="none"/>
        </w:rPr>
        <w:t xml:space="preserve">项目时间：1年</w:t>
      </w:r>
      <w:r>
        <w:rPr>
          <w:rFonts w:hint="eastAsia"/>
          <w:sz w:val="24"/>
          <w:highlight w:val="none"/>
        </w:rPr>
      </w:r>
      <w:r/>
    </w:p>
    <w:p>
      <w:pPr>
        <w:pStyle w:val="1039"/>
        <w:numPr>
          <w:ilvl w:val="0"/>
          <w:numId w:val="14"/>
        </w:numPr>
        <w:contextualSpacing/>
        <w:ind w:left="-60" w:firstLine="480"/>
        <w:spacing w:line="360" w:lineRule="auto"/>
        <w:rPr>
          <w:rFonts w:hint="eastAsia"/>
          <w:sz w:val="24"/>
          <w:highlight w:val="none"/>
        </w:rPr>
      </w:pPr>
      <w:r>
        <w:rPr>
          <w:rFonts w:hint="eastAsia"/>
          <w:sz w:val="24"/>
          <w:highlight w:val="none"/>
        </w:rPr>
        <w:t xml:space="preserve">配送数量：根据采购方提前一天(或一个星期)开出的通知单为准。</w:t>
      </w:r>
      <w:r>
        <w:rPr>
          <w:rFonts w:hint="eastAsia"/>
          <w:sz w:val="24"/>
          <w:highlight w:val="none"/>
        </w:rPr>
      </w:r>
      <w:r/>
    </w:p>
    <w:p>
      <w:pPr>
        <w:pStyle w:val="1039"/>
        <w:numPr>
          <w:ilvl w:val="0"/>
          <w:numId w:val="14"/>
        </w:numPr>
        <w:contextualSpacing/>
        <w:ind w:left="-60" w:firstLine="480"/>
        <w:spacing w:line="360" w:lineRule="auto"/>
        <w:rPr>
          <w:sz w:val="24"/>
          <w:highlight w:val="none"/>
        </w:rPr>
      </w:pPr>
      <w:r>
        <w:rPr>
          <w:rFonts w:hint="eastAsia"/>
          <w:sz w:val="24"/>
          <w:highlight w:val="none"/>
        </w:rPr>
        <w:t xml:space="preserve">食材价格：</w:t>
      </w:r>
      <w:bookmarkStart w:id="672" w:name="_Hlk140679908"/>
      <w:r>
        <w:rPr>
          <w:rFonts w:hint="eastAsia"/>
          <w:sz w:val="24"/>
          <w:highlight w:val="none"/>
        </w:rPr>
        <w:t xml:space="preserve">包含了货物价款、人工费、包装费、装卸车费、运输费、损耗费、检测费、验收费、保险费、税金等全部费用。</w:t>
      </w:r>
      <w:bookmarkEnd w:id="672"/>
      <w:r>
        <w:rPr>
          <w:sz w:val="24"/>
          <w:highlight w:val="none"/>
        </w:rPr>
      </w:r>
      <w:r/>
    </w:p>
    <w:p>
      <w:pPr>
        <w:pStyle w:val="1039"/>
        <w:contextualSpacing/>
        <w:ind w:firstLine="480"/>
        <w:spacing w:line="360" w:lineRule="auto"/>
        <w:rPr>
          <w:rFonts w:hint="eastAsia"/>
          <w:sz w:val="24"/>
          <w:highlight w:val="none"/>
        </w:rPr>
      </w:pPr>
      <w:r>
        <w:rPr>
          <w:rFonts w:hint="eastAsia"/>
          <w:sz w:val="24"/>
          <w:highlight w:val="none"/>
        </w:rPr>
        <w:t xml:space="preserve">3、结算方式：各类食材价格实行优质优价，按照不高于常州市价格通网站农贸市场价格的均价*（1-优惠率）的价格确定供应价。如无常州市价格通网站农贸市场价格参考价，其价格不高于甲方当天当地市场平均零售价，零售价的采集以溧阳市边界市场、西城市场、燕鸣菜场为样本，取其平均值为市场价，结算时按（1-</w:t>
      </w:r>
      <w:r>
        <w:rPr>
          <w:rFonts w:hint="eastAsia"/>
          <w:sz w:val="24"/>
          <w:highlight w:val="none"/>
          <w:lang w:val="en-US" w:eastAsia="zh-CN"/>
        </w:rPr>
        <w:t xml:space="preserve">成交</w:t>
      </w:r>
      <w:r>
        <w:rPr>
          <w:rFonts w:hint="eastAsia"/>
          <w:sz w:val="24"/>
          <w:highlight w:val="none"/>
        </w:rPr>
        <w:t xml:space="preserve">优惠率）结算。货款每月一结。供应商需开具正规的税务发票并及时送达采购人，逾期产生的责任由供应商承担。</w:t>
      </w:r>
      <w:r>
        <w:rPr>
          <w:rFonts w:hint="eastAsia"/>
          <w:sz w:val="24"/>
          <w:highlight w:val="none"/>
        </w:rPr>
      </w:r>
      <w:r/>
    </w:p>
    <w:p>
      <w:pPr>
        <w:pStyle w:val="1134"/>
        <w:numPr>
          <w:ilvl w:val="0"/>
          <w:numId w:val="12"/>
        </w:numPr>
        <w:contextualSpacing/>
        <w:spacing w:line="360" w:lineRule="auto"/>
        <w:rPr>
          <w:rFonts w:hint="eastAsia" w:ascii="Times New Roman" w:hAnsi="Times New Roman"/>
          <w:b/>
          <w:sz w:val="24"/>
          <w:szCs w:val="24"/>
          <w:highlight w:val="none"/>
        </w:rPr>
      </w:pPr>
      <w:r>
        <w:rPr>
          <w:rFonts w:ascii="Times New Roman" w:hAnsi="Times New Roman"/>
          <w:b/>
          <w:sz w:val="24"/>
          <w:szCs w:val="24"/>
          <w:highlight w:val="none"/>
        </w:rPr>
        <w:t xml:space="preserve">技术要求</w:t>
      </w:r>
      <w:r>
        <w:rPr>
          <w:rFonts w:hint="eastAsia" w:ascii="Times New Roman" w:hAnsi="Times New Roman"/>
          <w:b/>
          <w:sz w:val="24"/>
          <w:szCs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（一）质量标准：</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、猪肉配送标准：使用冷鲜肉品牌产品，猪肉</w:t>
      </w:r>
      <w:bookmarkStart w:id="673" w:name="_Hlk139724812"/>
      <w:r>
        <w:rPr>
          <w:rFonts w:hint="eastAsia" w:ascii="宋体" w:hAnsi="宋体"/>
          <w:bCs/>
          <w:sz w:val="24"/>
          <w:highlight w:val="none"/>
        </w:rPr>
        <w:t xml:space="preserve">质量必须符合GB9959.1-2001标准</w:t>
      </w:r>
      <w:bookmarkEnd w:id="673"/>
      <w:r>
        <w:rPr>
          <w:rFonts w:hint="eastAsia" w:ascii="宋体" w:hAnsi="宋体"/>
          <w:bCs/>
          <w:sz w:val="24"/>
          <w:highlight w:val="none"/>
        </w:rPr>
        <w:t xml:space="preserve">，主要产品包括大排、肉丝、肉片、方肉、小排、肉酱、猪蹄、鲜猪肝等。其中：排肉是指无骨腿肉和无骨夹心肉，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、除猪肉外畜禽及家禽冻品（鸡腿、鸡翅、鸡尖等）质量要求：牛、羊肉使用冷鲜肉，质量必须符合GB</w:t>
      </w:r>
      <w:r>
        <w:rPr>
          <w:rFonts w:ascii="宋体" w:hAnsi="宋体"/>
          <w:bCs/>
          <w:sz w:val="24"/>
          <w:highlight w:val="none"/>
        </w:rPr>
        <w:t xml:space="preserve">2027</w:t>
      </w:r>
      <w:r>
        <w:rPr>
          <w:rFonts w:hint="eastAsia" w:ascii="宋体" w:hAnsi="宋体"/>
          <w:bCs/>
          <w:sz w:val="24"/>
          <w:highlight w:val="none"/>
        </w:rPr>
        <w:t xml:space="preserve">-200</w:t>
      </w:r>
      <w:r>
        <w:rPr>
          <w:rFonts w:ascii="宋体" w:hAnsi="宋体"/>
          <w:bCs/>
          <w:sz w:val="24"/>
          <w:highlight w:val="none"/>
        </w:rPr>
        <w:t xml:space="preserve">5</w:t>
      </w:r>
      <w:r>
        <w:rPr>
          <w:rFonts w:hint="eastAsia" w:ascii="宋体" w:hAnsi="宋体"/>
          <w:bCs/>
          <w:sz w:val="24"/>
          <w:highlight w:val="none"/>
        </w:rPr>
        <w:t xml:space="preserve">标准。配送单位须提供产品合格证明文件，动物产品提供《动物或动物产品分销信息凭证》或《动物检疫合格证》。</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、水产品质量要求：必须符合GB2733-20</w:t>
      </w:r>
      <w:r>
        <w:rPr>
          <w:rFonts w:hint="eastAsia" w:ascii="宋体" w:hAnsi="宋体"/>
          <w:bCs/>
          <w:sz w:val="24"/>
          <w:highlight w:val="none"/>
          <w:lang w:val="en-US" w:eastAsia="zh-CN"/>
        </w:rPr>
        <w:t xml:space="preserve">1</w:t>
      </w:r>
      <w:r>
        <w:rPr>
          <w:rFonts w:hint="eastAsia" w:ascii="宋体" w:hAnsi="宋体"/>
          <w:bCs/>
          <w:sz w:val="24"/>
          <w:highlight w:val="none"/>
          <w:lang w:val="en-US" w:eastAsia="zh-CN"/>
        </w:rPr>
        <w:t xml:space="preserve">5</w:t>
      </w:r>
      <w:r>
        <w:rPr>
          <w:rFonts w:hint="eastAsia" w:ascii="宋体" w:hAnsi="宋体"/>
          <w:bCs/>
          <w:sz w:val="24"/>
          <w:highlight w:val="none"/>
        </w:rPr>
        <w:t xml:space="preserve">《鲜、冻动物性水产品》、GB 10136-2015</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动物性水产制品</w:t>
      </w:r>
      <w:r>
        <w:rPr>
          <w:rFonts w:hint="eastAsia" w:ascii="宋体" w:hAnsi="宋体"/>
          <w:bCs/>
          <w:sz w:val="24"/>
          <w:highlight w:val="none"/>
          <w:lang w:eastAsia="zh-CN"/>
        </w:rPr>
        <w:t xml:space="preserve">》、</w:t>
      </w:r>
      <w:r>
        <w:rPr>
          <w:rFonts w:hint="eastAsia" w:ascii="宋体" w:hAnsi="宋体"/>
          <w:bCs/>
          <w:sz w:val="24"/>
          <w:highlight w:val="none"/>
        </w:rPr>
        <w:t xml:space="preserve">GB10133-20</w:t>
      </w:r>
      <w:r>
        <w:rPr>
          <w:rFonts w:hint="eastAsia" w:ascii="宋体" w:hAnsi="宋体"/>
          <w:bCs/>
          <w:sz w:val="24"/>
          <w:highlight w:val="none"/>
          <w:lang w:val="en-US" w:eastAsia="zh-CN"/>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《水产调味品》、GB19643-20</w:t>
      </w:r>
      <w:r>
        <w:rPr>
          <w:rFonts w:hint="eastAsia" w:ascii="宋体" w:hAnsi="宋体"/>
          <w:bCs/>
          <w:sz w:val="24"/>
          <w:highlight w:val="none"/>
          <w:lang w:val="en-US" w:eastAsia="zh-CN"/>
        </w:rPr>
        <w:t xml:space="preserve">1</w:t>
      </w:r>
      <w:r>
        <w:rPr>
          <w:rFonts w:hint="eastAsia" w:ascii="宋体" w:hAnsi="宋体"/>
          <w:bCs/>
          <w:sz w:val="24"/>
          <w:highlight w:val="none"/>
          <w:lang w:val="en-US" w:eastAsia="zh-CN"/>
        </w:rPr>
        <w:t xml:space="preserve">6</w:t>
      </w:r>
      <w:r>
        <w:rPr>
          <w:rFonts w:hint="eastAsia" w:ascii="宋体" w:hAnsi="宋体"/>
          <w:bCs/>
          <w:sz w:val="24"/>
          <w:highlight w:val="none"/>
        </w:rPr>
        <w:t xml:space="preserve">《藻类制品卫生标准》等。产品的感观、安全、卫生、稳定性等指标符合相关规定。</w:t>
      </w:r>
      <w:r>
        <w:rPr>
          <w:rFonts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4、无公害蔬菜质量要求：必须符合GB</w:t>
      </w: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760、GB2761、GB2762</w:t>
      </w:r>
      <w:r>
        <w:rPr>
          <w:rFonts w:hint="eastAsia" w:ascii="宋体" w:hAnsi="宋体"/>
          <w:bCs/>
          <w:sz w:val="24"/>
          <w:highlight w:val="none"/>
          <w:lang w:val="en-US" w:eastAsia="zh-CN"/>
        </w:rPr>
        <w:t xml:space="preserve">、GB2763</w:t>
      </w:r>
      <w:r>
        <w:rPr>
          <w:rFonts w:hint="eastAsia" w:ascii="宋体" w:hAnsi="宋体"/>
          <w:bCs/>
          <w:sz w:val="24"/>
          <w:highlight w:val="none"/>
        </w:rPr>
        <w:t xml:space="preserve">农产品安全质量无公害蔬菜安全要求，对蔬菜中有害物质严格控制在标准规定范围之内。</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5、豆制品质量要求：发酵性豆制品必须符合GB2712-2014标准，非发酵豆制品必须符合GB/T 22106-2025标准、GB 2712-2014非发酵性豆制品及面筋卫生标准，对豆制品的有关安全健康指标符合国家规定，并具有“QS”食品质量安全认证。</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ascii="宋体" w:hAnsi="宋体"/>
          <w:bCs/>
          <w:sz w:val="24"/>
          <w:highlight w:val="none"/>
        </w:rPr>
        <w:t xml:space="preserve">6</w:t>
      </w:r>
      <w:r>
        <w:rPr>
          <w:rFonts w:hint="eastAsia" w:ascii="宋体" w:hAnsi="宋体"/>
          <w:bCs/>
          <w:sz w:val="24"/>
          <w:highlight w:val="none"/>
        </w:rPr>
        <w:t xml:space="preserve">、水果质量要求：须提供该批次产品的农药残留检测报告，验收确认产品的色、香、味、形等感官性状正常；</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ascii="宋体" w:hAnsi="宋体"/>
          <w:bCs/>
          <w:sz w:val="24"/>
          <w:highlight w:val="none"/>
        </w:rPr>
        <w:t xml:space="preserve">7</w:t>
      </w:r>
      <w:r>
        <w:rPr>
          <w:rFonts w:hint="eastAsia" w:ascii="宋体" w:hAnsi="宋体"/>
          <w:bCs/>
          <w:sz w:val="24"/>
          <w:highlight w:val="none"/>
        </w:rPr>
        <w:t xml:space="preserve">、牛奶及其它液体乳类：鲜奶类配送日期距生产日期不超过三天，酸奶类配送日期距生产日期不超过十五天，所有产品需提供第三方检测报告。</w:t>
      </w:r>
      <w:r>
        <w:rPr>
          <w:rFonts w:ascii="宋体" w:hAnsi="宋体"/>
          <w:bCs/>
          <w:sz w:val="24"/>
          <w:highlight w:val="none"/>
        </w:rPr>
      </w:r>
      <w:r/>
    </w:p>
    <w:p>
      <w:pPr>
        <w:pStyle w:val="1039"/>
        <w:ind w:firstLine="480"/>
        <w:spacing w:line="360" w:lineRule="auto"/>
        <w:rPr>
          <w:rFonts w:ascii="宋体" w:hAnsi="宋体"/>
          <w:bCs/>
          <w:sz w:val="24"/>
          <w:highlight w:val="none"/>
        </w:rPr>
      </w:pPr>
      <w:r>
        <w:rPr>
          <w:rFonts w:ascii="宋体" w:hAnsi="宋体"/>
          <w:bCs/>
          <w:sz w:val="24"/>
          <w:highlight w:val="none"/>
        </w:rPr>
        <w:t xml:space="preserve">8</w:t>
      </w:r>
      <w:r>
        <w:rPr>
          <w:rFonts w:hint="eastAsia" w:ascii="宋体" w:hAnsi="宋体"/>
          <w:bCs/>
          <w:sz w:val="24"/>
          <w:highlight w:val="none"/>
        </w:rPr>
        <w:t xml:space="preserve">、鲜蛋质量要求：鸡蛋等新鲜蛋类必须符合 GB 2749-2015标准。</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ascii="宋体" w:hAnsi="宋体"/>
          <w:bCs/>
          <w:sz w:val="24"/>
          <w:highlight w:val="none"/>
        </w:rPr>
        <w:t xml:space="preserve">9</w:t>
      </w:r>
      <w:r>
        <w:rPr>
          <w:rFonts w:hint="eastAsia" w:ascii="宋体" w:hAnsi="宋体"/>
          <w:bCs/>
          <w:sz w:val="24"/>
          <w:highlight w:val="none"/>
        </w:rPr>
        <w:t xml:space="preserve">、米面食用油质量要求：须提供该批次的检测报告和产品合格证，标签上应有品名、厂名、厂址、生产日期、保质期等内容。验收确认产品的色、香、味、形等感官性状正常。</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ascii="宋体" w:hAnsi="宋体"/>
          <w:bCs/>
          <w:sz w:val="24"/>
          <w:highlight w:val="none"/>
        </w:rPr>
        <w:t xml:space="preserve">10</w:t>
      </w:r>
      <w:r>
        <w:rPr>
          <w:rFonts w:hint="eastAsia" w:ascii="宋体" w:hAnsi="宋体"/>
          <w:bCs/>
          <w:sz w:val="24"/>
          <w:highlight w:val="none"/>
        </w:rPr>
        <w:t xml:space="preserve">、调味品质量要求：酱油符合GB 2717-2018标准，味精符合GB 2720-2015标准，生粉（淀粉制品）符合GB 2713-2015标准，食糖符合GB13104-2014卫生标准，镇江香醋符合GB/T18623-2011标准,酿造食醋符合GB18187-2000标准。</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ascii="宋体" w:hAnsi="宋体"/>
          <w:bCs/>
          <w:sz w:val="24"/>
          <w:highlight w:val="none"/>
        </w:rPr>
        <w:t xml:space="preserve">11</w:t>
      </w:r>
      <w:r>
        <w:rPr>
          <w:rFonts w:hint="eastAsia" w:ascii="宋体" w:hAnsi="宋体"/>
          <w:bCs/>
          <w:sz w:val="24"/>
          <w:highlight w:val="none"/>
        </w:rPr>
        <w:t xml:space="preserve">、食品添加剂质量要求：食品添加剂应符合相应的食品安全标准，添加剂的使用必须符合GB2760-2011标准，对食品的添加量严格控制在标准规定范围之内。</w:t>
      </w:r>
      <w:r>
        <w:rPr>
          <w:rFonts w:hint="eastAsia" w:ascii="宋体" w:hAnsi="宋体"/>
          <w:bCs/>
          <w:sz w:val="24"/>
          <w:highlight w:val="none"/>
        </w:rPr>
      </w:r>
      <w:r/>
    </w:p>
    <w:p>
      <w:pPr>
        <w:pStyle w:val="1070"/>
        <w:tabs>
          <w:tab w:val="left" w:pos="567" w:leader="none"/>
        </w:tabs>
        <w:rPr>
          <w:rFonts w:eastAsia="宋体"/>
          <w:highlight w:val="none"/>
          <w:lang w:val="en-US" w:eastAsia="zh-CN"/>
        </w:rPr>
      </w:pPr>
      <w:r>
        <w:rPr>
          <w:rFonts w:hint="eastAsia"/>
          <w:highlight w:val="none"/>
          <w:lang w:val="en-US" w:eastAsia="zh-CN"/>
        </w:rPr>
        <w:t xml:space="preserve">以上食品要求需按最新的国家标准执行。</w:t>
      </w:r>
      <w:r>
        <w:rPr>
          <w:rFonts w:eastAsia="宋体"/>
          <w:highlight w:val="none"/>
          <w:lang w:val="en-US" w:eastAsia="zh-CN"/>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（二）品牌及检测报告要求：</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1、肉类（主要指冷冻肉）、豆制品、调味品、必须使用品牌产品，即由所处经营领域中有较高知名度与美誉度的大型企业提供，其产品可以追根溯源。</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2、采购单位将委托权威部门不定期对配送单位提供的食材进行检测。如检测发现质量问题，由配送单位承担检测费用。</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3、严禁使用转基因食品。</w:t>
      </w:r>
      <w:r>
        <w:rPr>
          <w:rFonts w:hint="eastAsia" w:ascii="宋体" w:hAnsi="宋体"/>
          <w:bCs/>
          <w:sz w:val="24"/>
          <w:highlight w:val="none"/>
        </w:rPr>
      </w:r>
      <w:r/>
    </w:p>
    <w:p>
      <w:pPr>
        <w:pStyle w:val="1039"/>
        <w:spacing w:line="360" w:lineRule="auto"/>
        <w:rPr>
          <w:rFonts w:ascii="宋体" w:hAnsi="宋体"/>
          <w:bCs/>
          <w:sz w:val="24"/>
          <w:highlight w:val="none"/>
        </w:rPr>
      </w:pPr>
      <w:r>
        <w:rPr>
          <w:rFonts w:hint="eastAsia" w:ascii="宋体" w:hAnsi="宋体"/>
          <w:bCs/>
          <w:sz w:val="24"/>
          <w:highlight w:val="none"/>
        </w:rPr>
        <w:t xml:space="preserve">（三）卫生要求</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1、中标单位供应的食材必须符合《中华人民共和国食品安全法》标准，并根据协议约定和食堂提出的品种、规格、品牌、数量、质量要求在规定的时间内及时送到。每日的配送清单须是打印稿，如发现食材卫生质量问题或者以次充好，采购单位可立即无条件退货或换货，并对配送单位扣除该货物品种金额5-10倍的货款作为违约金。</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2、配送单位严禁提供以下食品：</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（1）无品名、产地、厂名、生产日期、保质期及中文标识及原料说明的定型包装食品（除蔬菜、面点、早点等非定型包装食品）；</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（2）超过保质期限或不符合食品标签规定的定型包装食品；</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（3）腐败变质、油脂酸败、霉变、生虫、污秽不洁、混有异物或者其他感官性状异常，含有毒、有害物质或者被有毒、有害物质污染，可能对人体健康有害的食品；</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（4）病死、死因不明或从疫区采购的水产品、畜、禽及其制品，不合格调味品，工业用盐，非碘盐或非食品原料和滥用食品添加剂，农药残留超标的水果、蔬菜等；</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（5）其他不符合食品卫生标准和要求的食品。</w:t>
      </w:r>
      <w:r>
        <w:rPr>
          <w:rFonts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如因食品的质量问题引起食物中毒等食源性疾病的发生或其他事故，由配送单位负全部责任，并承担由此而引起的全部经济损失及相关法律责任。情节较为严重的，采购人有权立即终止供货协议，并按相关法律处理。</w:t>
      </w:r>
      <w:r>
        <w:rPr>
          <w:rFonts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四、配送频率要求</w:t>
      </w:r>
      <w:r>
        <w:rPr>
          <w:rFonts w:hint="eastAsia"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1、正常情况下每个工作日配送1次，食堂在每次配送前1天提供所需食材清单及要求。</w:t>
      </w:r>
      <w:r>
        <w:rPr>
          <w:rFonts w:hint="eastAsia"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2、送菜时间为:每天(周一至周五) 6：30点之前，供应商应在规定时间内送至溧阳市教育局食堂，由相关人员验收确认及签收。</w:t>
      </w:r>
      <w:r>
        <w:rPr>
          <w:rFonts w:hint="eastAsia"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3、遇有特殊情况，根据溧阳市教育局要求，1 小时内配送到位。</w:t>
      </w:r>
      <w:r>
        <w:rPr>
          <w:rFonts w:hint="eastAsia" w:ascii="宋体" w:hAnsi="宋体"/>
          <w:bCs/>
          <w:sz w:val="24"/>
          <w:highlight w:val="none"/>
        </w:rPr>
      </w:r>
      <w:r/>
    </w:p>
    <w:p>
      <w:pPr>
        <w:pStyle w:val="1039"/>
        <w:spacing w:line="360" w:lineRule="auto"/>
        <w:rPr>
          <w:rFonts w:ascii="宋体" w:hAnsi="宋体"/>
          <w:bCs/>
          <w:sz w:val="24"/>
          <w:highlight w:val="none"/>
        </w:rPr>
      </w:pPr>
      <w:r>
        <w:rPr>
          <w:rFonts w:hint="eastAsia" w:ascii="宋体" w:hAnsi="宋体"/>
          <w:bCs/>
          <w:sz w:val="24"/>
          <w:highlight w:val="none"/>
        </w:rPr>
        <w:t xml:space="preserve">五、服务要求</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供应商在服务过程中，必须按照采购人的要求完成供货，对于采购人提出的要求或整改意见，供应商不能及时整改到位的或无故拒绝整改的，采购人有权立即终止供货协议。</w:t>
      </w:r>
      <w:r>
        <w:rPr>
          <w:rFonts w:hint="eastAsia" w:ascii="宋体" w:hAnsi="宋体"/>
          <w:bCs/>
          <w:sz w:val="24"/>
          <w:highlight w:val="none"/>
        </w:rPr>
      </w:r>
      <w:r/>
    </w:p>
    <w:p>
      <w:pPr>
        <w:pStyle w:val="1039"/>
        <w:contextualSpacing/>
        <w:spacing w:line="360" w:lineRule="auto"/>
        <w:rPr>
          <w:sz w:val="24"/>
          <w:highlight w:val="none"/>
        </w:rPr>
      </w:pPr>
      <w:r>
        <w:rPr>
          <w:b/>
          <w:sz w:val="36"/>
          <w:szCs w:val="36"/>
          <w:highlight w:val="none"/>
        </w:rPr>
        <w:t xml:space="preserve"> </w:t>
      </w:r>
      <w:r>
        <w:rPr>
          <w:rFonts w:hint="eastAsia"/>
          <w:sz w:val="24"/>
          <w:highlight w:val="none"/>
        </w:rPr>
        <w:t xml:space="preserve">六、</w:t>
      </w:r>
      <w:r>
        <w:rPr>
          <w:sz w:val="24"/>
          <w:highlight w:val="none"/>
        </w:rPr>
        <w:t xml:space="preserve">其他要求</w:t>
      </w:r>
      <w:r>
        <w:rPr>
          <w:sz w:val="24"/>
          <w:highlight w:val="none"/>
        </w:rPr>
      </w:r>
      <w:r/>
    </w:p>
    <w:p>
      <w:pPr>
        <w:pStyle w:val="1134"/>
        <w:contextualSpacing/>
        <w:ind w:firstLine="480"/>
        <w:jc w:val="left"/>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1、按照《政府采购促进中小企业发展管理办法》（财库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宋体" w:hAnsi="宋体"/>
          <w:sz w:val="24"/>
          <w:szCs w:val="24"/>
          <w:highlight w:val="none"/>
        </w:rPr>
        <w:t xml:space="preserve">100</w:t>
      </w:r>
      <w:r>
        <w:rPr>
          <w:rFonts w:hint="eastAsia" w:ascii="Times New Roman" w:hAnsi="Times New Roman"/>
          <w:sz w:val="24"/>
          <w:szCs w:val="24"/>
          <w:highlight w:val="none"/>
        </w:rPr>
        <w:t xml:space="preserve"> %。</w:t>
      </w:r>
      <w:r>
        <w:rPr>
          <w:rFonts w:hint="eastAsia" w:ascii="Times New Roman" w:hAnsi="Times New Roman"/>
          <w:sz w:val="24"/>
          <w:szCs w:val="24"/>
          <w:highlight w:val="none"/>
        </w:rPr>
      </w:r>
      <w:r/>
    </w:p>
    <w:p>
      <w:pPr>
        <w:pStyle w:val="1039"/>
        <w:numPr>
          <w:ilvl w:val="0"/>
          <w:numId w:val="0"/>
        </w:numPr>
        <w:ind w:left="420"/>
        <w:spacing w:line="276"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2、供应商应为本项目提供详细的服务方案，后期服务过程严格按照方案内容执行，</w:t>
      </w:r>
      <w:r>
        <w:rPr>
          <w:rFonts w:hint="eastAsia" w:ascii="宋体" w:hAnsi="宋体" w:eastAsia="宋体" w:cs="宋体"/>
          <w:color w:val="000000"/>
          <w:sz w:val="24"/>
          <w:highlight w:val="none"/>
          <w:lang w:val="en-US" w:eastAsia="zh-CN"/>
        </w:rPr>
      </w:r>
      <w:r/>
    </w:p>
    <w:p>
      <w:pPr>
        <w:pStyle w:val="1039"/>
        <w:numPr>
          <w:ilvl w:val="0"/>
          <w:numId w:val="0"/>
        </w:numPr>
        <w:spacing w:line="276"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实际服务过程中若有相应调整，及时同采购人协商修订相关方案，内容包含</w:t>
      </w:r>
      <w:r>
        <w:rPr>
          <w:rFonts w:hint="eastAsia" w:ascii="Times New Roman" w:hAnsi="Times New Roman" w:eastAsia="宋体" w:cs="Times New Roman"/>
          <w:sz w:val="24"/>
          <w:highlight w:val="none"/>
        </w:rPr>
        <w:t xml:space="preserve">供应商组织构架、岗位职责及制度建</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①组织</w:t>
      </w:r>
      <w:r>
        <w:rPr>
          <w:rFonts w:hint="eastAsia" w:ascii="宋体" w:hAnsi="宋体" w:eastAsia="宋体" w:cs="Times New Roman"/>
          <w:sz w:val="24"/>
          <w:highlight w:val="none"/>
        </w:rPr>
        <w:t xml:space="preserve">构架</w:t>
      </w:r>
      <w:r>
        <w:rPr>
          <w:rFonts w:ascii="宋体" w:hAnsi="宋体" w:eastAsia="宋体" w:cs="Times New Roman"/>
          <w:sz w:val="24"/>
          <w:highlight w:val="none"/>
        </w:rPr>
        <w:t xml:space="preserve">②</w:t>
      </w:r>
      <w:r>
        <w:rPr>
          <w:rFonts w:hint="eastAsia" w:ascii="宋体" w:hAnsi="宋体" w:eastAsia="宋体" w:cs="Times New Roman"/>
          <w:sz w:val="24"/>
          <w:highlight w:val="none"/>
        </w:rPr>
        <w:t xml:space="preserve">岗位</w:t>
      </w:r>
      <w:r>
        <w:rPr>
          <w:rFonts w:hint="eastAsia" w:ascii="Times New Roman" w:hAnsi="Times New Roman" w:eastAsia="宋体" w:cs="Times New Roman"/>
          <w:sz w:val="24"/>
          <w:highlight w:val="none"/>
        </w:rPr>
        <w:t xml:space="preserve">职责及工作要求③制度建设内容（包含但不限于索票索证制度、食品安全相关制度、内控制度等）</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食材配送方案①食材配送服务进</w:t>
      </w:r>
      <w:r>
        <w:rPr>
          <w:rFonts w:hint="eastAsia" w:ascii="宋体" w:hAnsi="宋体" w:eastAsia="宋体" w:cs="Times New Roman"/>
          <w:sz w:val="24"/>
          <w:highlight w:val="none"/>
        </w:rPr>
        <w:t xml:space="preserve">度</w:t>
      </w:r>
      <w:r>
        <w:rPr>
          <w:rFonts w:ascii="宋体" w:hAnsi="宋体" w:eastAsia="宋体" w:cs="Times New Roman"/>
          <w:sz w:val="24"/>
          <w:highlight w:val="none"/>
        </w:rPr>
        <w:t xml:space="preserve">②</w:t>
      </w:r>
      <w:r>
        <w:rPr>
          <w:rFonts w:hint="eastAsia" w:ascii="宋体" w:hAnsi="宋体" w:eastAsia="宋体" w:cs="Times New Roman"/>
          <w:sz w:val="24"/>
          <w:highlight w:val="none"/>
        </w:rPr>
        <w:t xml:space="preserve">食</w:t>
      </w:r>
      <w:r>
        <w:rPr>
          <w:rFonts w:hint="eastAsia" w:ascii="Times New Roman" w:hAnsi="Times New Roman" w:eastAsia="宋体" w:cs="Times New Roman"/>
          <w:sz w:val="24"/>
          <w:highlight w:val="none"/>
        </w:rPr>
        <w:t xml:space="preserve">材配送方案（包含但不限于配送服务流程、配送线路、配送保障</w:t>
      </w:r>
      <w:r>
        <w:rPr>
          <w:rFonts w:hint="eastAsia" w:ascii="Times New Roman" w:hAnsi="Times New Roman" w:eastAsia="宋体" w:cs="Times New Roman"/>
          <w:sz w:val="24"/>
          <w:highlight w:val="none"/>
          <w:lang w:eastAsia="zh-CN"/>
        </w:rPr>
        <w:t xml:space="preserve">）</w:t>
      </w: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en-US" w:eastAsia="zh-CN"/>
        </w:rPr>
        <w:t xml:space="preserve">食材</w:t>
      </w:r>
      <w:r>
        <w:rPr>
          <w:rFonts w:hint="eastAsia" w:ascii="Times New Roman" w:hAnsi="Times New Roman" w:eastAsia="宋体" w:cs="Times New Roman"/>
          <w:sz w:val="24"/>
          <w:highlight w:val="none"/>
        </w:rPr>
        <w:t xml:space="preserve">验货方案</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食材质量保证措施</w:t>
      </w:r>
      <w:r>
        <w:rPr>
          <w:rFonts w:hint="eastAsia" w:ascii="宋体" w:hAnsi="宋体" w:eastAsia="宋体" w:cs="宋体"/>
          <w:color w:val="000000"/>
          <w:sz w:val="24"/>
          <w:highlight w:val="none"/>
        </w:rPr>
        <w:t xml:space="preserve">①根据所采购的食材生产源头、执行管理体系标准②新鲜度③包装④温度控制⑤配送时效</w:t>
      </w:r>
      <w:r>
        <w:rPr>
          <w:rFonts w:hint="eastAsia" w:ascii="宋体" w:hAnsi="宋体" w:eastAsia="宋体" w:cs="宋体"/>
          <w:color w:val="000000"/>
          <w:sz w:val="24"/>
          <w:highlight w:val="none"/>
          <w:lang w:val="en-US" w:eastAsia="zh-CN"/>
        </w:rPr>
        <w:t xml:space="preserve">;</w:t>
      </w:r>
      <w:r>
        <w:rPr>
          <w:rFonts w:hint="eastAsia" w:ascii="Times New Roman" w:hAnsi="Times New Roman" w:eastAsia="宋体" w:cs="Times New Roman"/>
          <w:color w:val="000000"/>
          <w:sz w:val="24"/>
          <w:highlight w:val="none"/>
        </w:rPr>
        <w:t xml:space="preserve">食材卫生安全保障措施</w:t>
      </w:r>
      <w:r>
        <w:rPr>
          <w:rFonts w:ascii="宋体" w:hAnsi="宋体" w:eastAsia="宋体" w:cs="宋体"/>
          <w:color w:val="000000"/>
          <w:sz w:val="24"/>
          <w:highlight w:val="none"/>
        </w:rPr>
        <w:t xml:space="preserve">①</w:t>
      </w:r>
      <w:r>
        <w:rPr>
          <w:rFonts w:hint="eastAsia" w:ascii="Times New Roman" w:hAnsi="Times New Roman" w:eastAsia="宋体" w:cs="Times New Roman"/>
          <w:color w:val="000000"/>
          <w:sz w:val="24"/>
          <w:highlight w:val="none"/>
        </w:rPr>
        <w:t xml:space="preserve">食材采购的卫生</w:t>
      </w:r>
      <w:r>
        <w:rPr>
          <w:rFonts w:hint="eastAsia" w:ascii="Times New Roman" w:hAnsi="Times New Roman" w:eastAsia="宋体" w:cs="Times New Roman"/>
          <w:color w:val="000000"/>
          <w:sz w:val="24"/>
          <w:highlight w:val="none"/>
          <w:lang w:val="en-US" w:eastAsia="zh-CN"/>
        </w:rPr>
        <w:t xml:space="preserve">要求</w:t>
      </w:r>
      <w:r>
        <w:rPr>
          <w:rFonts w:ascii="宋体" w:hAnsi="宋体" w:eastAsia="宋体" w:cs="宋体"/>
          <w:color w:val="000000"/>
          <w:sz w:val="24"/>
          <w:highlight w:val="none"/>
        </w:rPr>
        <w:t xml:space="preserve">②</w:t>
      </w:r>
      <w:r>
        <w:rPr>
          <w:rFonts w:hint="eastAsia" w:ascii="Times New Roman" w:hAnsi="Times New Roman" w:eastAsia="宋体" w:cs="Times New Roman"/>
          <w:color w:val="000000"/>
          <w:sz w:val="24"/>
          <w:highlight w:val="none"/>
        </w:rPr>
        <w:t xml:space="preserve">配送环节的卫生安全保障措施</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sz w:val="24"/>
          <w:highlight w:val="none"/>
        </w:rPr>
        <w:t xml:space="preserve">应急响应措施方案</w:t>
      </w:r>
      <w:r>
        <w:rPr>
          <w:rFonts w:ascii="宋体" w:hAnsi="宋体" w:eastAsia="宋体" w:cs="宋体"/>
          <w:color w:val="000000"/>
          <w:sz w:val="24"/>
          <w:highlight w:val="none"/>
        </w:rPr>
        <w:t xml:space="preserve">①</w:t>
      </w:r>
      <w:r>
        <w:rPr>
          <w:rFonts w:hint="eastAsia" w:ascii="宋体" w:hAnsi="宋体" w:eastAsia="宋体" w:cs="宋体"/>
          <w:color w:val="000000"/>
          <w:sz w:val="24"/>
          <w:highlight w:val="none"/>
        </w:rPr>
        <w:t xml:space="preserve">应急响应措施情况</w:t>
      </w:r>
      <w:r>
        <w:rPr>
          <w:rFonts w:ascii="宋体" w:hAnsi="宋体" w:eastAsia="宋体" w:cs="宋体"/>
          <w:color w:val="000000"/>
          <w:sz w:val="24"/>
          <w:highlight w:val="none"/>
        </w:rPr>
        <w:t xml:space="preserve">②</w:t>
      </w:r>
      <w:r>
        <w:rPr>
          <w:rFonts w:hint="eastAsia" w:ascii="宋体" w:hAnsi="宋体" w:eastAsia="宋体" w:cs="宋体"/>
          <w:color w:val="000000"/>
          <w:sz w:val="24"/>
          <w:highlight w:val="none"/>
        </w:rPr>
        <w:t xml:space="preserve">响应时间、合理性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9"/>
        <w:numPr>
          <w:ilvl w:val="0"/>
          <w:numId w:val="0"/>
        </w:numPr>
        <w:spacing w:line="276"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供应商的</w:t>
      </w:r>
      <w:r>
        <w:rPr>
          <w:rFonts w:hint="eastAsia" w:ascii="Times New Roman" w:hAnsi="Times New Roman" w:eastAsia="宋体" w:cs="Times New Roman"/>
          <w:sz w:val="24"/>
          <w:highlight w:val="none"/>
        </w:rPr>
        <w:t xml:space="preserve">综合实力</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具有</w:t>
      </w:r>
      <w:r>
        <w:rPr>
          <w:rFonts w:hint="eastAsia" w:ascii="Times New Roman" w:hAnsi="Times New Roman" w:eastAsia="宋体" w:cs="Times New Roman"/>
          <w:sz w:val="24"/>
          <w:highlight w:val="none"/>
        </w:rPr>
        <w:t xml:space="preserve">冷链运输车辆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检测室及人员</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类似业绩、</w:t>
      </w:r>
      <w:r>
        <w:rPr>
          <w:rFonts w:hint="eastAsia" w:ascii="Times New Roman" w:hAnsi="Times New Roman" w:eastAsia="宋体" w:cs="Times New Roman"/>
          <w:sz w:val="24"/>
          <w:highlight w:val="none"/>
        </w:rPr>
        <w:t xml:space="preserve">拟投入人员情</w:t>
      </w:r>
      <w:r>
        <w:rPr>
          <w:rFonts w:hint="eastAsia" w:ascii="Times New Roman" w:hAnsi="Times New Roman" w:eastAsia="宋体" w:cs="Times New Roman"/>
          <w:sz w:val="24"/>
          <w:highlight w:val="none"/>
        </w:rPr>
      </w:r>
      <w:r/>
    </w:p>
    <w:p>
      <w:pPr>
        <w:pStyle w:val="1039"/>
        <w:numPr>
          <w:ilvl w:val="0"/>
          <w:numId w:val="0"/>
        </w:numPr>
        <w:spacing w:line="276"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况</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r>
      <w:r/>
    </w:p>
    <w:p>
      <w:pPr>
        <w:pStyle w:val="1039"/>
        <w:ind w:firstLine="480"/>
        <w:spacing w:line="360" w:lineRule="auto"/>
        <w:rPr>
          <w:rFonts w:hint="eastAsia" w:ascii="Times New Roman" w:hAnsi="Times New Roman"/>
          <w:sz w:val="24"/>
          <w:szCs w:val="24"/>
          <w:highlight w:val="none"/>
        </w:rPr>
      </w:pPr>
      <w:r>
        <w:rPr>
          <w:rFonts w:ascii="宋体" w:hAnsi="宋体" w:eastAsia="宋体" w:cs="宋体"/>
          <w:color w:val="000000"/>
          <w:sz w:val="24"/>
          <w:szCs w:val="24"/>
          <w:highlight w:val="none"/>
          <w:lang w:val="en-US" w:eastAsia="zh-CN" w:bidi="ar-SA"/>
        </w:rPr>
        <w:t xml:space="preserve">上述内容无需在《偏离表》中注明是否偏离。</w:t>
      </w:r>
      <w:r>
        <w:rPr>
          <w:rFonts w:hint="eastAsia" w:ascii="Times New Roman" w:hAnsi="Times New Roman"/>
          <w:sz w:val="24"/>
          <w:szCs w:val="24"/>
          <w:highlight w:val="none"/>
        </w:rPr>
      </w:r>
      <w:r/>
    </w:p>
    <w:p>
      <w:pPr>
        <w:pStyle w:val="1039"/>
        <w:ind w:firstLine="480"/>
        <w:jc w:val="left"/>
        <w:spacing w:line="276" w:lineRule="auto"/>
        <w:rPr>
          <w:rFonts w:ascii="Times New Roman" w:hAnsi="Times New Roman" w:eastAsia="宋体" w:cs="Times New Roman"/>
          <w:b/>
          <w:bCs/>
          <w:color w:val="0000ff"/>
          <w:sz w:val="24"/>
          <w:highlight w:val="none"/>
          <w:lang w:val="en-US" w:eastAsia="zh-CN"/>
        </w:rPr>
      </w:pPr>
      <w:r>
        <w:rPr>
          <w:rFonts w:ascii="Segoe UI Symbol" w:hAnsi="Segoe UI Symbol" w:cs="Segoe UI Symbol"/>
          <w:sz w:val="24"/>
          <w:highlight w:val="none"/>
        </w:rPr>
        <w:t xml:space="preserve">★</w:t>
      </w:r>
      <w:r>
        <w:rPr>
          <w:rFonts w:hint="eastAsia" w:ascii="宋体" w:hAnsi="宋体" w:eastAsia="宋体" w:cs="宋体"/>
          <w:b/>
          <w:bCs/>
          <w:color w:val="0000ff"/>
          <w:sz w:val="24"/>
          <w:highlight w:val="none"/>
          <w:lang w:val="en-US" w:eastAsia="zh-CN"/>
        </w:rPr>
        <w:t xml:space="preserve">3、</w:t>
      </w:r>
      <w:r>
        <w:rPr>
          <w:rFonts w:hint="eastAsia" w:ascii="宋体" w:hAnsi="宋体" w:eastAsia="宋体" w:cs="宋体"/>
          <w:b/>
          <w:bCs/>
          <w:color w:val="0000ff"/>
          <w:sz w:val="24"/>
          <w:highlight w:val="none"/>
        </w:rPr>
        <w:t xml:space="preserve">供应商</w:t>
      </w:r>
      <w:r>
        <w:rPr>
          <w:rFonts w:hint="eastAsia" w:ascii="宋体" w:hAnsi="宋体" w:eastAsia="宋体" w:cs="宋体"/>
          <w:b/>
          <w:bCs/>
          <w:color w:val="0000ff"/>
          <w:sz w:val="24"/>
          <w:highlight w:val="none"/>
          <w:lang w:val="en-US" w:eastAsia="zh-CN"/>
        </w:rPr>
        <w:t xml:space="preserve">须具有</w:t>
      </w:r>
      <w:r>
        <w:rPr>
          <w:rFonts w:hint="eastAsia" w:ascii="Times New Roman" w:hAnsi="Times New Roman" w:eastAsia="宋体" w:cs="Times New Roman"/>
          <w:b/>
          <w:bCs/>
          <w:color w:val="0000ff"/>
          <w:sz w:val="24"/>
          <w:highlight w:val="none"/>
        </w:rPr>
        <w:t xml:space="preserve">停车场和</w:t>
      </w:r>
      <w:r>
        <w:rPr>
          <w:rFonts w:hint="eastAsia" w:ascii="Times New Roman" w:hAnsi="Times New Roman" w:eastAsia="宋体" w:cs="Times New Roman"/>
          <w:b/>
          <w:bCs/>
          <w:color w:val="0000ff"/>
          <w:sz w:val="24"/>
          <w:highlight w:val="none"/>
        </w:rPr>
        <w:t xml:space="preserve">室内供货场地。</w:t>
      </w:r>
      <w:r>
        <w:rPr>
          <w:rFonts w:hint="eastAsia" w:ascii="Times New Roman" w:hAnsi="Times New Roman" w:eastAsia="宋体" w:cs="Times New Roman"/>
          <w:b/>
          <w:bCs/>
          <w:color w:val="0000ff"/>
          <w:sz w:val="24"/>
          <w:highlight w:val="none"/>
          <w:lang w:val="en-US" w:eastAsia="zh-CN"/>
        </w:rPr>
        <w:t xml:space="preserve">须提供承诺书</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lang w:val="en-US" w:eastAsia="zh-CN"/>
        </w:rPr>
        <w:t xml:space="preserve">格式自拟</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lang w:val="en-US" w:eastAsia="zh-CN"/>
        </w:rPr>
        <w:t xml:space="preserve">未提供的作无效标处理。</w:t>
      </w:r>
      <w:r>
        <w:rPr>
          <w:rFonts w:ascii="Times New Roman" w:hAnsi="Times New Roman" w:eastAsia="宋体" w:cs="Times New Roman"/>
          <w:b/>
          <w:bCs/>
          <w:color w:val="0000ff"/>
          <w:sz w:val="24"/>
          <w:highlight w:val="none"/>
          <w:lang w:val="en-US" w:eastAsia="zh-CN"/>
        </w:rPr>
      </w:r>
      <w:r/>
    </w:p>
    <w:p>
      <w:pPr>
        <w:pStyle w:val="1039"/>
        <w:ind w:firstLine="480"/>
        <w:jc w:val="left"/>
        <w:spacing w:line="276" w:lineRule="auto"/>
        <w:rPr>
          <w:rFonts w:hint="eastAsia" w:ascii="宋体" w:hAnsi="宋体" w:eastAsia="宋体" w:cs="Times New Roman"/>
          <w:b/>
          <w:bCs/>
          <w:color w:val="0000ff"/>
          <w:sz w:val="24"/>
          <w:szCs w:val="24"/>
          <w:highlight w:val="none"/>
          <w:lang w:val="en-US" w:eastAsia="zh-CN" w:bidi="ar-SA"/>
        </w:rPr>
      </w:pPr>
      <w:r>
        <w:rPr>
          <w:rFonts w:ascii="Segoe UI Symbol" w:hAnsi="Segoe UI Symbol" w:cs="Segoe UI Symbol"/>
          <w:sz w:val="24"/>
          <w:highlight w:val="none"/>
        </w:rPr>
        <w:t xml:space="preserve">★</w:t>
      </w:r>
      <w:r>
        <w:rPr>
          <w:rFonts w:hint="eastAsia" w:ascii="Times New Roman" w:hAnsi="Times New Roman" w:eastAsia="宋体" w:cs="Times New Roman"/>
          <w:b/>
          <w:bCs/>
          <w:color w:val="0000ff"/>
          <w:sz w:val="24"/>
          <w:szCs w:val="24"/>
          <w:highlight w:val="none"/>
          <w:lang w:val="en-US" w:eastAsia="zh-CN" w:bidi="ar-SA"/>
        </w:rPr>
        <w:t xml:space="preserve">4、供应商须具有功能区设置：功能分区齐全，包括仓储区域、蔬菜农药残留检测室、洗手更衣区、筐箱清洗及消毒区、蔬菜分拣区、肉类分割加工区、冷冻冷藏区、物资分发区、车辆装卸场地、防鼠防蝇设施、监控设备。</w:t>
      </w:r>
      <w:r>
        <w:rPr>
          <w:rFonts w:hint="eastAsia" w:ascii="Times New Roman" w:hAnsi="Times New Roman" w:eastAsia="宋体" w:cs="Times New Roman"/>
          <w:b/>
          <w:bCs/>
          <w:color w:val="0000ff"/>
          <w:sz w:val="24"/>
          <w:highlight w:val="none"/>
          <w:lang w:val="en-US" w:eastAsia="zh-CN"/>
        </w:rPr>
        <w:t xml:space="preserve">须提供承诺书</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lang w:val="en-US" w:eastAsia="zh-CN"/>
        </w:rPr>
        <w:t xml:space="preserve">格式自拟</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lang w:val="en-US" w:eastAsia="zh-CN"/>
        </w:rPr>
        <w:t xml:space="preserve">未提供的作无效标处理。</w:t>
      </w:r>
      <w:r>
        <w:rPr>
          <w:rFonts w:hint="eastAsia" w:ascii="宋体" w:hAnsi="宋体" w:eastAsia="宋体" w:cs="Times New Roman"/>
          <w:b/>
          <w:bCs/>
          <w:color w:val="0000ff"/>
          <w:sz w:val="24"/>
          <w:szCs w:val="24"/>
          <w:highlight w:val="none"/>
          <w:lang w:val="en-US" w:eastAsia="zh-CN" w:bidi="ar-SA"/>
        </w:rPr>
      </w:r>
      <w:r/>
    </w:p>
    <w:p>
      <w:pPr>
        <w:pStyle w:val="1070"/>
        <w:tabs>
          <w:tab w:val="left" w:pos="567" w:leader="none"/>
        </w:tabs>
        <w:rPr>
          <w:highlight w:val="none"/>
          <w:lang w:val="en-US" w:eastAsia="zh-CN"/>
        </w:rPr>
      </w:pPr>
      <w:r>
        <w:rPr>
          <w:highlight w:val="none"/>
          <w:lang w:val="en-US" w:eastAsia="zh-CN"/>
        </w:rPr>
      </w:r>
      <w:r/>
    </w:p>
    <w:p>
      <w:pPr>
        <w:pStyle w:val="1039"/>
        <w:ind w:left="-2" w:hanging="88"/>
        <w:spacing w:line="276"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p>
      <w:pPr>
        <w:pStyle w:val="1134"/>
        <w:contextualSpacing/>
        <w:ind w:firstLine="480"/>
        <w:jc w:val="left"/>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r>
      <w:r/>
    </w:p>
    <w:p>
      <w:pPr>
        <w:pStyle w:val="1039"/>
        <w:ind w:firstLine="723"/>
        <w:jc w:val="center"/>
        <w:spacing w:line="360" w:lineRule="auto"/>
        <w:widowControl/>
        <w:rPr>
          <w:b/>
          <w:sz w:val="36"/>
          <w:szCs w:val="36"/>
          <w:highlight w:val="none"/>
        </w:rPr>
      </w:pPr>
      <w:r>
        <w:rPr>
          <w:b/>
          <w:sz w:val="36"/>
          <w:szCs w:val="36"/>
          <w:highlight w:val="none"/>
        </w:rPr>
        <w:br w:type="page" w:clear="all"/>
      </w:r>
      <w:r>
        <w:rPr>
          <w:b/>
          <w:sz w:val="36"/>
          <w:szCs w:val="36"/>
          <w:highlight w:val="none"/>
        </w:rPr>
        <w:t xml:space="preserve">第五章   合同</w:t>
      </w:r>
      <w:r>
        <w:rPr>
          <w:rFonts w:hint="eastAsia"/>
          <w:b/>
          <w:sz w:val="36"/>
          <w:szCs w:val="36"/>
          <w:highlight w:val="none"/>
        </w:rPr>
        <w:t xml:space="preserve">主要</w:t>
      </w:r>
      <w:r>
        <w:rPr>
          <w:b/>
          <w:sz w:val="36"/>
          <w:szCs w:val="36"/>
          <w:highlight w:val="none"/>
        </w:rPr>
        <w:t xml:space="preserve">条款</w:t>
      </w:r>
      <w:r>
        <w:rPr>
          <w:b/>
          <w:sz w:val="36"/>
          <w:szCs w:val="36"/>
          <w:highlight w:val="none"/>
        </w:rPr>
      </w:r>
      <w:r/>
    </w:p>
    <w:p>
      <w:pPr>
        <w:pStyle w:val="1039"/>
        <w:spacing w:line="227" w:lineRule="auto"/>
        <w:rPr>
          <w:rFonts w:ascii="宋体" w:hAnsi="宋体" w:cs="宋体"/>
          <w:sz w:val="20"/>
          <w:szCs w:val="20"/>
          <w:highlight w:val="none"/>
        </w:rPr>
      </w:pPr>
      <w:r>
        <w:rPr>
          <w:rFonts w:ascii="宋体" w:hAnsi="宋体" w:cs="宋体"/>
          <w:sz w:val="20"/>
          <w:szCs w:val="20"/>
          <w:highlight w:val="none"/>
        </w:rPr>
      </w:r>
      <w:r/>
    </w:p>
    <w:p>
      <w:pPr>
        <w:pStyle w:val="1040"/>
        <w:spacing w:before="0"/>
        <w:rPr>
          <w:rStyle w:val="1264"/>
          <w:rFonts w:ascii="宋体" w:hAnsi="宋体" w:eastAsia="宋体"/>
          <w:b w:val="0"/>
          <w:bCs/>
          <w:sz w:val="36"/>
          <w:szCs w:val="36"/>
          <w:highlight w:val="none"/>
        </w:rPr>
      </w:pPr>
      <w:r/>
      <w:bookmarkStart w:id="674" w:name="_Toc18619"/>
      <w:r>
        <w:rPr>
          <w:rStyle w:val="1264"/>
          <w:rFonts w:ascii="宋体" w:hAnsi="宋体" w:eastAsia="宋体"/>
          <w:sz w:val="36"/>
          <w:szCs w:val="36"/>
          <w:highlight w:val="none"/>
        </w:rPr>
        <w:t xml:space="preserve">拟签订的合同文本</w:t>
      </w:r>
      <w:r>
        <w:rPr>
          <w:rStyle w:val="1264"/>
          <w:rFonts w:ascii="宋体" w:hAnsi="宋体" w:eastAsia="宋体"/>
          <w:b w:val="0"/>
          <w:bCs/>
          <w:sz w:val="36"/>
          <w:szCs w:val="36"/>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甲方: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签订地点：</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乙方: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合同时间：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甲乙双方依据《中华人民共和国民法典》以及有关法律、法规的规定，经协商一致，订立本合同，以便共同遵守。</w:t>
      </w:r>
      <w:r>
        <w:rPr>
          <w:rFonts w:hint="eastAsia" w:ascii="宋体" w:hAnsi="宋体"/>
          <w:sz w:val="24"/>
          <w:highlight w:val="none"/>
        </w:rPr>
      </w:r>
      <w:r/>
    </w:p>
    <w:p>
      <w:pPr>
        <w:pStyle w:val="1039"/>
        <w:ind w:firstLine="482"/>
        <w:spacing w:line="360" w:lineRule="auto"/>
        <w:rPr>
          <w:rFonts w:hint="eastAsia" w:ascii="宋体" w:hAnsi="宋体"/>
          <w:b/>
          <w:bCs/>
          <w:sz w:val="24"/>
          <w:highlight w:val="none"/>
        </w:rPr>
      </w:pPr>
      <w:r>
        <w:rPr>
          <w:rFonts w:hint="eastAsia" w:ascii="宋体" w:hAnsi="宋体"/>
          <w:b/>
          <w:bCs/>
          <w:sz w:val="24"/>
          <w:highlight w:val="none"/>
        </w:rPr>
        <w:t xml:space="preserve">第一条 合同标的</w:t>
      </w:r>
      <w:r>
        <w:rPr>
          <w:rFonts w:hint="eastAsia" w:ascii="宋体" w:hAnsi="宋体"/>
          <w:b/>
          <w:bCs/>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乙方根据甲方需求提供下列</w:t>
      </w:r>
      <w:r>
        <w:rPr>
          <w:rFonts w:hint="eastAsia" w:ascii="宋体" w:hAnsi="宋体"/>
          <w:sz w:val="24"/>
          <w:highlight w:val="none"/>
          <w:lang w:val="en-US" w:eastAsia="zh-CN"/>
        </w:rPr>
        <w:t xml:space="preserve">服务</w:t>
      </w:r>
      <w:r>
        <w:rPr>
          <w:rFonts w:hint="eastAsia" w:ascii="宋体" w:hAnsi="宋体"/>
          <w:sz w:val="24"/>
          <w:highlight w:val="none"/>
        </w:rPr>
        <w:t xml:space="preserve">，系指根据合同规定乙方须承担与</w:t>
      </w:r>
      <w:r>
        <w:rPr>
          <w:rFonts w:hint="eastAsia" w:ascii="宋体" w:hAnsi="宋体"/>
          <w:sz w:val="24"/>
          <w:highlight w:val="none"/>
          <w:lang w:val="en-US" w:eastAsia="zh-CN"/>
        </w:rPr>
        <w:t xml:space="preserve">项目</w:t>
      </w:r>
      <w:r>
        <w:rPr>
          <w:rFonts w:hint="eastAsia" w:ascii="宋体" w:hAnsi="宋体"/>
          <w:sz w:val="24"/>
          <w:highlight w:val="none"/>
        </w:rPr>
        <w:t xml:space="preserve">有关的所有辅助服务。</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1、采购内容：</w:t>
      </w:r>
      <w:r>
        <w:rPr>
          <w:rFonts w:hint="eastAsia" w:ascii="宋体" w:hAnsi="宋体"/>
          <w:sz w:val="24"/>
          <w:highlight w:val="none"/>
        </w:rPr>
      </w:r>
      <w:r/>
    </w:p>
    <w:p>
      <w:pPr>
        <w:pStyle w:val="1039"/>
        <w:ind w:firstLine="480"/>
        <w:spacing w:line="360" w:lineRule="auto"/>
        <w:rPr>
          <w:rFonts w:hint="eastAsia" w:ascii="宋体" w:hAnsi="宋体"/>
          <w:sz w:val="24"/>
          <w:highlight w:val="none"/>
          <w:u w:val="single"/>
        </w:rPr>
      </w:pPr>
      <w:r>
        <w:rPr>
          <w:rFonts w:hint="eastAsia" w:ascii="宋体" w:hAnsi="宋体"/>
          <w:sz w:val="24"/>
          <w:highlight w:val="none"/>
        </w:rPr>
        <w:t xml:space="preserve">标的名称：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r>
      <w:r/>
    </w:p>
    <w:p>
      <w:pPr>
        <w:pStyle w:val="1039"/>
        <w:ind w:firstLine="480"/>
        <w:spacing w:line="360" w:lineRule="auto"/>
        <w:rPr>
          <w:rFonts w:ascii="宋体" w:hAnsi="宋体"/>
          <w:sz w:val="24"/>
          <w:highlight w:val="none"/>
        </w:rPr>
      </w:pPr>
      <w:r>
        <w:rPr>
          <w:rFonts w:hint="eastAsia" w:ascii="宋体" w:hAnsi="宋体"/>
          <w:sz w:val="24"/>
          <w:highlight w:val="none"/>
        </w:rPr>
        <w:t xml:space="preserve">采购包金额：￥</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元（大写：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成交优惠率：</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sz w:val="24"/>
          <w:highlight w:val="none"/>
        </w:rPr>
        <w:t xml:space="preserve">食材价格包含了货物价款、人工费、包装费、装卸车费、运输费、损耗费、检测费、验收费、保险费、税金等全部费用。</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2、配送数量</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根据采购方提前一天(或一个星期)开出的通知单为准。</w:t>
      </w:r>
      <w:r>
        <w:rPr>
          <w:rFonts w:hint="eastAsia" w:ascii="宋体" w:hAnsi="宋体"/>
          <w:sz w:val="24"/>
          <w:highlight w:val="none"/>
        </w:rPr>
      </w:r>
      <w:r/>
    </w:p>
    <w:p>
      <w:pPr>
        <w:pStyle w:val="1039"/>
        <w:numPr>
          <w:ilvl w:val="0"/>
          <w:numId w:val="14"/>
        </w:numPr>
        <w:ind w:left="-60" w:firstLine="480"/>
        <w:spacing w:line="360" w:lineRule="auto"/>
        <w:rPr>
          <w:rFonts w:hint="eastAsia" w:ascii="宋体" w:hAnsi="宋体"/>
          <w:sz w:val="24"/>
          <w:highlight w:val="none"/>
        </w:rPr>
      </w:pPr>
      <w:r>
        <w:rPr>
          <w:rFonts w:hint="eastAsia" w:ascii="宋体" w:hAnsi="宋体"/>
          <w:sz w:val="24"/>
          <w:highlight w:val="none"/>
        </w:rPr>
        <w:t xml:space="preserve">质量要求</w:t>
      </w:r>
      <w:r>
        <w:rPr>
          <w:rFonts w:hint="eastAsia" w:ascii="宋体" w:hAnsi="宋体"/>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（一）质量标准：</w:t>
      </w:r>
      <w:r>
        <w:rPr>
          <w:rFonts w:hint="eastAsia" w:ascii="宋体" w:hAnsi="宋体"/>
          <w:bCs/>
          <w:sz w:val="24"/>
          <w:highlight w:val="none"/>
        </w:rPr>
      </w:r>
      <w:r/>
    </w:p>
    <w:p>
      <w:pPr>
        <w:pStyle w:val="1039"/>
        <w:ind w:firstLine="480"/>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rPr>
        <w:t xml:space="preserve">1</w:t>
      </w:r>
      <w:r>
        <w:rPr>
          <w:rFonts w:hint="eastAsia" w:ascii="宋体" w:hAnsi="宋体" w:eastAsia="宋体" w:cs="Times New Roman"/>
          <w:bCs/>
          <w:sz w:val="24"/>
          <w:highlight w:val="none"/>
        </w:rPr>
        <w:t xml:space="preserve">、猪肉配送标准：使用冷鲜肉品牌产品，猪肉质量必须符合GB9959.1-2001标准，主要产品包括大排、肉丝、肉片、方肉、小排、肉酱、猪蹄、鲜猪肝等。其中：排肉是指无骨腿肉和无骨夹心肉，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Times New Roman"/>
          <w:bCs/>
          <w:sz w:val="24"/>
          <w:highlight w:val="none"/>
        </w:rPr>
      </w:r>
      <w:r/>
    </w:p>
    <w:p>
      <w:pPr>
        <w:pStyle w:val="1039"/>
        <w:ind w:firstLine="480"/>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rPr>
        <w:t xml:space="preserve">2</w:t>
      </w:r>
      <w:r>
        <w:rPr>
          <w:rFonts w:hint="eastAsia" w:ascii="宋体" w:hAnsi="宋体" w:eastAsia="宋体" w:cs="Times New Roman"/>
          <w:bCs/>
          <w:sz w:val="24"/>
          <w:highlight w:val="none"/>
        </w:rPr>
        <w:t xml:space="preserve">、除猪肉外畜禽及家禽冻品（鸡腿、鸡翅、鸡尖等）质量要求：牛、羊肉使用冷鲜肉，质量必须符合GB</w:t>
      </w:r>
      <w:r>
        <w:rPr>
          <w:rFonts w:ascii="宋体" w:hAnsi="宋体" w:eastAsia="宋体" w:cs="Times New Roman"/>
          <w:bCs/>
          <w:sz w:val="24"/>
          <w:highlight w:val="none"/>
        </w:rPr>
        <w:t xml:space="preserve">2027</w:t>
      </w:r>
      <w:r>
        <w:rPr>
          <w:rFonts w:hint="eastAsia" w:ascii="宋体" w:hAnsi="宋体" w:eastAsia="宋体" w:cs="Times New Roman"/>
          <w:bCs/>
          <w:sz w:val="24"/>
          <w:highlight w:val="none"/>
        </w:rPr>
        <w:t xml:space="preserve">-200</w:t>
      </w:r>
      <w:r>
        <w:rPr>
          <w:rFonts w:ascii="宋体" w:hAnsi="宋体" w:eastAsia="宋体" w:cs="Times New Roman"/>
          <w:bCs/>
          <w:sz w:val="24"/>
          <w:highlight w:val="none"/>
        </w:rPr>
        <w:t xml:space="preserve">5</w:t>
      </w:r>
      <w:r>
        <w:rPr>
          <w:rFonts w:hint="eastAsia" w:ascii="宋体" w:hAnsi="宋体" w:eastAsia="宋体" w:cs="Times New Roman"/>
          <w:bCs/>
          <w:sz w:val="24"/>
          <w:highlight w:val="none"/>
        </w:rPr>
        <w:t xml:space="preserve">标准。配送单位须提供产品合格证明文件，动物产品提供《动物或动物产品分销信息凭证》或《动物检疫合格证》。</w:t>
      </w:r>
      <w:r>
        <w:rPr>
          <w:rFonts w:hint="eastAsia" w:ascii="宋体" w:hAnsi="宋体" w:eastAsia="宋体" w:cs="Times New Roman"/>
          <w:bCs/>
          <w:sz w:val="24"/>
          <w:highlight w:val="none"/>
        </w:rPr>
      </w:r>
      <w:r/>
    </w:p>
    <w:p>
      <w:pPr>
        <w:pStyle w:val="1039"/>
        <w:ind w:firstLine="480"/>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3</w:t>
      </w:r>
      <w:r>
        <w:rPr>
          <w:rFonts w:hint="eastAsia" w:ascii="宋体" w:hAnsi="宋体" w:eastAsia="宋体" w:cs="Times New Roman"/>
          <w:bCs/>
          <w:sz w:val="24"/>
          <w:highlight w:val="none"/>
        </w:rPr>
        <w:t xml:space="preserve">、水产品质量要求：必须符合GB2733-20</w:t>
      </w:r>
      <w:r>
        <w:rPr>
          <w:rFonts w:hint="eastAsia" w:ascii="宋体" w:hAnsi="宋体" w:eastAsia="宋体" w:cs="Times New Roman"/>
          <w:bCs/>
          <w:sz w:val="24"/>
          <w:highlight w:val="none"/>
          <w:lang w:val="en-US" w:eastAsia="zh-CN"/>
        </w:rPr>
        <w:t xml:space="preserve">15</w:t>
      </w:r>
      <w:r>
        <w:rPr>
          <w:rFonts w:hint="eastAsia" w:ascii="宋体" w:hAnsi="宋体" w:eastAsia="宋体" w:cs="Times New Roman"/>
          <w:bCs/>
          <w:sz w:val="24"/>
          <w:highlight w:val="none"/>
        </w:rPr>
        <w:t xml:space="preserve">《鲜、冻动物性水产品》、GB 10136-2015</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动物性水产制品</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GB10133-20</w:t>
      </w:r>
      <w:r>
        <w:rPr>
          <w:rFonts w:hint="eastAsia" w:ascii="宋体" w:hAnsi="宋体" w:eastAsia="宋体" w:cs="Times New Roman"/>
          <w:bCs/>
          <w:sz w:val="24"/>
          <w:highlight w:val="none"/>
          <w:lang w:val="en-US" w:eastAsia="zh-CN"/>
        </w:rPr>
        <w:t xml:space="preserve">14</w:t>
      </w:r>
      <w:r>
        <w:rPr>
          <w:rFonts w:hint="eastAsia" w:ascii="宋体" w:hAnsi="宋体" w:eastAsia="宋体" w:cs="Times New Roman"/>
          <w:bCs/>
          <w:sz w:val="24"/>
          <w:highlight w:val="none"/>
        </w:rPr>
        <w:t xml:space="preserve">《水产调味品》、GB19643-20</w:t>
      </w:r>
      <w:r>
        <w:rPr>
          <w:rFonts w:hint="eastAsia" w:ascii="宋体" w:hAnsi="宋体" w:eastAsia="宋体" w:cs="Times New Roman"/>
          <w:bCs/>
          <w:sz w:val="24"/>
          <w:highlight w:val="none"/>
          <w:lang w:val="en-US" w:eastAsia="zh-CN"/>
        </w:rPr>
        <w:t xml:space="preserve">16</w:t>
      </w:r>
      <w:r>
        <w:rPr>
          <w:rFonts w:hint="eastAsia" w:ascii="宋体" w:hAnsi="宋体" w:eastAsia="宋体" w:cs="Times New Roman"/>
          <w:bCs/>
          <w:sz w:val="24"/>
          <w:highlight w:val="none"/>
        </w:rPr>
        <w:t xml:space="preserve">《藻类制品卫生标准》等。产品的感观、安全、卫生、稳定性等指标符合相关规定。</w:t>
      </w:r>
      <w:r>
        <w:rPr>
          <w:rFonts w:ascii="宋体" w:hAnsi="宋体" w:eastAsia="宋体" w:cs="Times New Roman"/>
          <w:bCs/>
          <w:sz w:val="24"/>
          <w:highlight w:val="none"/>
        </w:rPr>
      </w:r>
      <w:r/>
    </w:p>
    <w:p>
      <w:pPr>
        <w:pStyle w:val="1039"/>
        <w:ind w:firstLine="480"/>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4、无公害蔬菜质量要求：必须符合GB</w:t>
      </w:r>
      <w:r>
        <w:rPr>
          <w:rFonts w:hint="eastAsia" w:ascii="宋体" w:hAnsi="宋体" w:eastAsia="宋体" w:cs="Times New Roman"/>
          <w:bCs/>
          <w:sz w:val="24"/>
          <w:highlight w:val="none"/>
          <w:lang w:val="en-US" w:eastAsia="zh-CN"/>
        </w:rPr>
        <w:t xml:space="preserve">2760、GB2761、GB2762、GB2763</w:t>
      </w:r>
      <w:r>
        <w:rPr>
          <w:rFonts w:hint="eastAsia" w:ascii="宋体" w:hAnsi="宋体" w:eastAsia="宋体" w:cs="Times New Roman"/>
          <w:bCs/>
          <w:sz w:val="24"/>
          <w:highlight w:val="none"/>
        </w:rPr>
        <w:t xml:space="preserve">农产品安全质量无公害蔬菜安全要求，对蔬菜中有害物质严格控制在标准规定范围之内。</w:t>
      </w:r>
      <w:r>
        <w:rPr>
          <w:rFonts w:ascii="宋体" w:hAnsi="宋体" w:eastAsia="宋体" w:cs="Times New Roman"/>
          <w:bCs/>
          <w:sz w:val="24"/>
          <w:highlight w:val="none"/>
        </w:rPr>
      </w:r>
      <w:r/>
    </w:p>
    <w:p>
      <w:pPr>
        <w:pStyle w:val="1039"/>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5、豆制品质量要求：发酵性豆制品必须符合GB2712-2014标准，非发酵豆制品必须符合GB/T 22106-2025标准、GB 2712-2014非发酵性豆制品及面筋卫生标准，对豆制品的有关安全健康指标符合国家规定，并具有“QS”食品质量安全认证。</w:t>
      </w:r>
      <w:r>
        <w:rPr>
          <w:rFonts w:hint="eastAsia" w:ascii="宋体" w:hAnsi="宋体" w:eastAsia="宋体" w:cs="Times New Roman"/>
          <w:bCs/>
          <w:sz w:val="24"/>
          <w:highlight w:val="none"/>
        </w:rPr>
      </w:r>
      <w:r/>
    </w:p>
    <w:p>
      <w:pPr>
        <w:pStyle w:val="1039"/>
        <w:ind w:firstLine="480"/>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rPr>
        <w:t xml:space="preserve">6</w:t>
      </w:r>
      <w:r>
        <w:rPr>
          <w:rFonts w:hint="eastAsia" w:ascii="宋体" w:hAnsi="宋体" w:eastAsia="宋体" w:cs="Times New Roman"/>
          <w:bCs/>
          <w:sz w:val="24"/>
          <w:highlight w:val="none"/>
        </w:rPr>
        <w:t xml:space="preserve">、水果质量要求：须提供该批次产品的农药残留检测报告，验收确认产品的色、香、味、形等感官性状正常；</w:t>
      </w:r>
      <w:r>
        <w:rPr>
          <w:rFonts w:hint="eastAsia" w:ascii="宋体" w:hAnsi="宋体" w:eastAsia="宋体" w:cs="Times New Roman"/>
          <w:bCs/>
          <w:sz w:val="24"/>
          <w:highlight w:val="none"/>
        </w:rPr>
      </w:r>
      <w:r/>
    </w:p>
    <w:p>
      <w:pPr>
        <w:pStyle w:val="1039"/>
        <w:ind w:firstLine="480"/>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7</w:t>
      </w:r>
      <w:r>
        <w:rPr>
          <w:rFonts w:hint="eastAsia" w:ascii="宋体" w:hAnsi="宋体" w:eastAsia="宋体" w:cs="Times New Roman"/>
          <w:bCs/>
          <w:sz w:val="24"/>
          <w:highlight w:val="none"/>
        </w:rPr>
        <w:t xml:space="preserve">、牛奶及其它液体乳类：鲜奶类配送日期距生产日期不超过三天，酸奶类配送日期距生产日期不超过十五天，所有产品需提供第三方检测报告。</w:t>
      </w:r>
      <w:r>
        <w:rPr>
          <w:rFonts w:ascii="宋体" w:hAnsi="宋体" w:eastAsia="宋体" w:cs="Times New Roman"/>
          <w:bCs/>
          <w:sz w:val="24"/>
          <w:highlight w:val="none"/>
        </w:rPr>
      </w:r>
      <w:r/>
    </w:p>
    <w:p>
      <w:pPr>
        <w:pStyle w:val="1039"/>
        <w:ind w:firstLine="480"/>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8</w:t>
      </w:r>
      <w:r>
        <w:rPr>
          <w:rFonts w:hint="eastAsia" w:ascii="宋体" w:hAnsi="宋体" w:eastAsia="宋体" w:cs="Times New Roman"/>
          <w:bCs/>
          <w:sz w:val="24"/>
          <w:highlight w:val="none"/>
        </w:rPr>
        <w:t xml:space="preserve">、鲜蛋质量要求：鸡蛋等新鲜蛋类必须符合 GB 2749-2015标准。</w:t>
      </w:r>
      <w:r>
        <w:rPr>
          <w:rFonts w:ascii="宋体" w:hAnsi="宋体" w:eastAsia="宋体" w:cs="Times New Roman"/>
          <w:bCs/>
          <w:sz w:val="24"/>
          <w:highlight w:val="none"/>
        </w:rPr>
      </w:r>
      <w:r/>
    </w:p>
    <w:p>
      <w:pPr>
        <w:pStyle w:val="1039"/>
        <w:ind w:firstLine="480"/>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rPr>
        <w:t xml:space="preserve">9</w:t>
      </w:r>
      <w:r>
        <w:rPr>
          <w:rFonts w:hint="eastAsia" w:ascii="宋体" w:hAnsi="宋体" w:eastAsia="宋体" w:cs="Times New Roman"/>
          <w:bCs/>
          <w:sz w:val="24"/>
          <w:highlight w:val="none"/>
        </w:rPr>
        <w:t xml:space="preserve">、米面食用油质量要求：须提供该批次的检测报告和产品合格证，标签上应有品名、厂名、厂址、生产日期、保质期等内容。验收确认产品的色、香、味、形等感官性状正常。</w:t>
      </w:r>
      <w:r>
        <w:rPr>
          <w:rFonts w:hint="eastAsia" w:ascii="宋体" w:hAnsi="宋体" w:eastAsia="宋体" w:cs="Times New Roman"/>
          <w:bCs/>
          <w:sz w:val="24"/>
          <w:highlight w:val="none"/>
        </w:rPr>
      </w:r>
      <w:r/>
    </w:p>
    <w:p>
      <w:pPr>
        <w:pStyle w:val="1039"/>
        <w:ind w:firstLine="480"/>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10</w:t>
      </w:r>
      <w:r>
        <w:rPr>
          <w:rFonts w:hint="eastAsia" w:ascii="宋体" w:hAnsi="宋体" w:eastAsia="宋体" w:cs="Times New Roman"/>
          <w:bCs/>
          <w:sz w:val="24"/>
          <w:highlight w:val="none"/>
        </w:rPr>
        <w:t xml:space="preserve">、调味品质量要求：酱油符合GB 2717-2018标准，味精符合GB 2720-2015标准，生粉（淀粉制品）符合GB 2713-2015标准，食糖符合GB13104-2014卫生标准，镇江香醋符合GB/T18623-2011标准,酿造食醋符合GB18187-2000标准。</w:t>
      </w:r>
      <w:r>
        <w:rPr>
          <w:rFonts w:ascii="宋体" w:hAnsi="宋体" w:eastAsia="宋体" w:cs="Times New Roman"/>
          <w:bCs/>
          <w:sz w:val="24"/>
          <w:highlight w:val="none"/>
        </w:rPr>
      </w:r>
      <w:r/>
    </w:p>
    <w:p>
      <w:pPr>
        <w:pStyle w:val="1039"/>
        <w:ind w:firstLine="480"/>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rPr>
        <w:t xml:space="preserve">11</w:t>
      </w:r>
      <w:r>
        <w:rPr>
          <w:rFonts w:hint="eastAsia" w:ascii="宋体" w:hAnsi="宋体" w:eastAsia="宋体" w:cs="Times New Roman"/>
          <w:bCs/>
          <w:sz w:val="24"/>
          <w:highlight w:val="none"/>
        </w:rPr>
        <w:t xml:space="preserve">、食品添加剂质量要求：食品添加剂应符合相应的食品安全标准，添加剂的使用必须符合GB2760-2011标准，对食品的添加量严格控制在标准规定范围之内。</w:t>
      </w:r>
      <w:r>
        <w:rPr>
          <w:rFonts w:hint="eastAsia" w:ascii="宋体" w:hAnsi="宋体" w:eastAsia="宋体" w:cs="Times New Roman"/>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（二）品牌及检测报告要求：</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1、肉类（主要指冷冻肉）、豆制品、调味品、必须使用品牌产品，即由所处经营领域中有较高知名度与美誉度的大型企业提供，其产品可以追根溯源。</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2、采购单位将委托权威部门不定期对配送单位提供的食材进行检测。如检测发现质量问题，由配送单位承担检测费用。</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3、严禁使用转基因食品。</w:t>
      </w:r>
      <w:r>
        <w:rPr>
          <w:rFonts w:hint="eastAsia" w:ascii="宋体" w:hAnsi="宋体"/>
          <w:bCs/>
          <w:sz w:val="24"/>
          <w:highlight w:val="none"/>
        </w:rPr>
      </w:r>
      <w:r/>
    </w:p>
    <w:p>
      <w:pPr>
        <w:pStyle w:val="1039"/>
        <w:spacing w:line="360" w:lineRule="auto"/>
        <w:rPr>
          <w:rFonts w:ascii="宋体" w:hAnsi="宋体"/>
          <w:bCs/>
          <w:sz w:val="24"/>
          <w:highlight w:val="none"/>
        </w:rPr>
      </w:pPr>
      <w:r>
        <w:rPr>
          <w:rFonts w:hint="eastAsia" w:ascii="宋体" w:hAnsi="宋体"/>
          <w:bCs/>
          <w:sz w:val="24"/>
          <w:highlight w:val="none"/>
        </w:rPr>
        <w:t xml:space="preserve">（三）卫生要求</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1、中标单位供应的食材必须符合《中华人民共和国食品安全法》标准，并根据协议约定和食堂提出的品种、规格、品牌、数量、质量要求在规定的时间内及时送到。每日的配送清单须是打印稿，如发现食材卫生质量问题或者以次充好，采购单位可立即无条件退货或换货，并对配送单位扣除该货物品种金额5-10倍的货款作为违约金。</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2、配送单位严禁提供以下食品：</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（1）无品名、产地、厂名、生产日期、保质期及中文标识及原料说明的定型包装食品（除蔬菜、面点、早点等非定型包装食品）；</w:t>
      </w:r>
      <w:r>
        <w:rPr>
          <w:rFonts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（2）超过保质期限或不符合食品标签规定的定型包装食品；</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（3）腐败变质、油脂酸败、霉变、生虫、污秽不洁、混有异物或者其他感官性状异常，含有毒、有害物质或者被有毒、有害物质污染，可能对人体健康有害的食品；</w:t>
      </w:r>
      <w:r>
        <w:rPr>
          <w:rFonts w:hint="eastAsia" w:ascii="宋体" w:hAnsi="宋体"/>
          <w:bCs/>
          <w:sz w:val="24"/>
          <w:highlight w:val="none"/>
        </w:rPr>
      </w:r>
      <w:r/>
    </w:p>
    <w:p>
      <w:pPr>
        <w:pStyle w:val="1039"/>
        <w:ind w:firstLine="480"/>
        <w:spacing w:line="360" w:lineRule="auto"/>
        <w:rPr>
          <w:rFonts w:hint="eastAsia" w:ascii="宋体" w:hAnsi="宋体"/>
          <w:bCs/>
          <w:sz w:val="24"/>
          <w:highlight w:val="none"/>
        </w:rPr>
      </w:pPr>
      <w:r>
        <w:rPr>
          <w:rFonts w:hint="eastAsia" w:ascii="宋体" w:hAnsi="宋体"/>
          <w:bCs/>
          <w:sz w:val="24"/>
          <w:highlight w:val="none"/>
        </w:rPr>
        <w:t xml:space="preserve">（4）病死、死因不明或从疫区采购的水产品、畜、禽及其制品，不合格调味品，工业用盐，非碘盐或非食品原料和滥用食品添加剂，农药残留超标的水果、蔬菜等；</w:t>
      </w:r>
      <w:r>
        <w:rPr>
          <w:rFonts w:hint="eastAsia"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（5）其他不符合食品卫生标准和要求的食品。</w:t>
      </w:r>
      <w:r>
        <w:rPr>
          <w:rFonts w:ascii="宋体" w:hAnsi="宋体"/>
          <w:bCs/>
          <w:sz w:val="24"/>
          <w:highlight w:val="none"/>
        </w:rPr>
      </w:r>
      <w:r/>
    </w:p>
    <w:p>
      <w:pPr>
        <w:pStyle w:val="1039"/>
        <w:ind w:firstLine="480"/>
        <w:spacing w:line="360" w:lineRule="auto"/>
        <w:rPr>
          <w:rFonts w:ascii="宋体" w:hAnsi="宋体"/>
          <w:bCs/>
          <w:sz w:val="24"/>
          <w:highlight w:val="none"/>
        </w:rPr>
      </w:pPr>
      <w:r>
        <w:rPr>
          <w:rFonts w:hint="eastAsia" w:ascii="宋体" w:hAnsi="宋体"/>
          <w:bCs/>
          <w:sz w:val="24"/>
          <w:highlight w:val="none"/>
        </w:rPr>
        <w:t xml:space="preserve">如因食品的质量问题引起食物中毒等食源性疾病的发生或其他事故，由配送单位负全部责任，并承担由此而引起的全部经济损失及相关法律责任。情节较为严重的，采购人有权立即终止供货协议，并按相关法律处理。</w:t>
      </w:r>
      <w:r>
        <w:rPr>
          <w:rFonts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4、配送频率要求</w:t>
      </w:r>
      <w:r>
        <w:rPr>
          <w:rFonts w:hint="eastAsia"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（1）正常情况下每个工作日配送1次，食堂在每次配送前1天提供所需食材清单及要求。</w:t>
      </w:r>
      <w:r>
        <w:rPr>
          <w:rFonts w:hint="eastAsia"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（2）送菜时间为:每天(周一至周五) 6：30点之前，供应商应在规定时间内送至溧阳市教育局食堂，由相关人员验收确认及签收。</w:t>
      </w:r>
      <w:r>
        <w:rPr>
          <w:rFonts w:hint="eastAsia" w:ascii="宋体" w:hAnsi="宋体"/>
          <w:bCs/>
          <w:sz w:val="24"/>
          <w:highlight w:val="none"/>
        </w:rPr>
      </w:r>
      <w:r/>
    </w:p>
    <w:p>
      <w:pPr>
        <w:pStyle w:val="1039"/>
        <w:spacing w:line="360" w:lineRule="auto"/>
        <w:rPr>
          <w:rFonts w:hint="eastAsia" w:ascii="宋体" w:hAnsi="宋体"/>
          <w:bCs/>
          <w:sz w:val="24"/>
          <w:highlight w:val="none"/>
        </w:rPr>
      </w:pPr>
      <w:r>
        <w:rPr>
          <w:rFonts w:hint="eastAsia" w:ascii="宋体" w:hAnsi="宋体"/>
          <w:bCs/>
          <w:sz w:val="24"/>
          <w:highlight w:val="none"/>
        </w:rPr>
        <w:t xml:space="preserve">（3）遇有特殊情况，根据溧阳市教育局要求，1 小时内配送到位。</w:t>
      </w:r>
      <w:r>
        <w:rPr>
          <w:rFonts w:hint="eastAsia" w:ascii="宋体" w:hAnsi="宋体"/>
          <w:bCs/>
          <w:sz w:val="24"/>
          <w:highlight w:val="none"/>
        </w:rPr>
      </w:r>
      <w:r/>
    </w:p>
    <w:p>
      <w:pPr>
        <w:pStyle w:val="1039"/>
        <w:spacing w:line="360" w:lineRule="auto"/>
        <w:rPr>
          <w:rFonts w:ascii="宋体" w:hAnsi="宋体"/>
          <w:bCs/>
          <w:sz w:val="24"/>
          <w:highlight w:val="none"/>
        </w:rPr>
      </w:pPr>
      <w:r>
        <w:rPr>
          <w:rFonts w:hint="eastAsia" w:ascii="宋体" w:hAnsi="宋体"/>
          <w:bCs/>
          <w:sz w:val="24"/>
          <w:highlight w:val="none"/>
        </w:rPr>
        <w:t xml:space="preserve">5、服务要求</w:t>
      </w:r>
      <w:r>
        <w:rPr>
          <w:rFonts w:ascii="宋体" w:hAnsi="宋体"/>
          <w:bCs/>
          <w:sz w:val="24"/>
          <w:highlight w:val="none"/>
        </w:rPr>
      </w:r>
      <w:r/>
    </w:p>
    <w:p>
      <w:pPr>
        <w:pStyle w:val="1039"/>
        <w:ind w:firstLine="480"/>
        <w:spacing w:line="360" w:lineRule="auto"/>
        <w:rPr>
          <w:rFonts w:ascii="宋体" w:hAnsi="宋体"/>
          <w:sz w:val="24"/>
          <w:highlight w:val="none"/>
        </w:rPr>
      </w:pPr>
      <w:r>
        <w:rPr>
          <w:rFonts w:hint="eastAsia" w:ascii="宋体" w:hAnsi="宋体"/>
          <w:bCs/>
          <w:sz w:val="24"/>
          <w:highlight w:val="none"/>
        </w:rPr>
        <w:t xml:space="preserve">供应商在服务过程中，必须按照采购人的要求完成供货，对于采购人提出的要求或整改意见，供应商不能及时整改到位的或无故拒绝整改的，采购人有权立即终止供货协议。</w:t>
      </w:r>
      <w:r>
        <w:rPr>
          <w:rFonts w:ascii="宋体" w:hAnsi="宋体"/>
          <w:sz w:val="24"/>
          <w:highlight w:val="none"/>
        </w:rPr>
      </w:r>
      <w:r/>
    </w:p>
    <w:p>
      <w:pPr>
        <w:pStyle w:val="1039"/>
        <w:ind w:firstLine="482"/>
        <w:spacing w:line="360" w:lineRule="auto"/>
        <w:rPr>
          <w:rFonts w:ascii="宋体" w:hAnsi="宋体"/>
          <w:b/>
          <w:bCs/>
          <w:sz w:val="24"/>
          <w:highlight w:val="none"/>
        </w:rPr>
      </w:pPr>
      <w:r>
        <w:rPr>
          <w:rFonts w:hint="eastAsia" w:ascii="宋体" w:hAnsi="宋体"/>
          <w:b/>
          <w:bCs/>
          <w:sz w:val="24"/>
          <w:highlight w:val="none"/>
        </w:rPr>
        <w:t xml:space="preserve">第二条 合同履行期限</w:t>
      </w:r>
      <w:r>
        <w:rPr>
          <w:rFonts w:ascii="宋体" w:hAnsi="宋体"/>
          <w:b/>
          <w:bCs/>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（一）服务期限：  年    月  日 至    年  月  日。</w:t>
      </w:r>
      <w:r>
        <w:rPr>
          <w:rFonts w:hint="eastAsia" w:ascii="宋体" w:hAnsi="宋体"/>
          <w:sz w:val="24"/>
          <w:highlight w:val="none"/>
        </w:rPr>
      </w:r>
      <w:r/>
    </w:p>
    <w:p>
      <w:pPr>
        <w:pStyle w:val="1039"/>
        <w:ind w:firstLine="482"/>
        <w:spacing w:line="360" w:lineRule="auto"/>
        <w:rPr>
          <w:rFonts w:hint="eastAsia" w:ascii="宋体" w:hAnsi="宋体"/>
          <w:b/>
          <w:bCs/>
          <w:sz w:val="24"/>
          <w:highlight w:val="none"/>
        </w:rPr>
      </w:pPr>
      <w:r>
        <w:rPr>
          <w:rFonts w:hint="eastAsia" w:ascii="宋体" w:hAnsi="宋体"/>
          <w:b/>
          <w:bCs/>
          <w:sz w:val="24"/>
          <w:highlight w:val="none"/>
        </w:rPr>
        <w:t xml:space="preserve">第三条 组成本合同的有关文件</w:t>
      </w:r>
      <w:r>
        <w:rPr>
          <w:rFonts w:hint="eastAsia" w:ascii="宋体" w:hAnsi="宋体"/>
          <w:b/>
          <w:bCs/>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下列与本次采购活动有关的文件及有关附件是本合同不可分割的组成部分，与本合同具有同等法律效力，这些文件包括但不限于：</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（1）采购文件（编号： ） （2）乙方提供的响应文件；</w:t>
      </w:r>
      <w:r>
        <w:rPr>
          <w:rFonts w:hint="eastAsia" w:ascii="宋体" w:hAnsi="宋体"/>
          <w:sz w:val="24"/>
          <w:highlight w:val="none"/>
        </w:rPr>
      </w:r>
      <w:r/>
    </w:p>
    <w:p>
      <w:pPr>
        <w:pStyle w:val="1039"/>
        <w:ind w:firstLine="480"/>
        <w:spacing w:line="360" w:lineRule="auto"/>
        <w:rPr>
          <w:rFonts w:ascii="宋体" w:hAnsi="宋体"/>
          <w:sz w:val="24"/>
          <w:highlight w:val="none"/>
        </w:rPr>
      </w:pPr>
      <w:r>
        <w:rPr>
          <w:rFonts w:hint="eastAsia" w:ascii="宋体" w:hAnsi="宋体"/>
          <w:sz w:val="24"/>
          <w:highlight w:val="none"/>
        </w:rPr>
        <w:t xml:space="preserve">（3）成交通知书； </w:t>
      </w:r>
      <w:r>
        <w:rPr>
          <w:rFonts w:ascii="宋体" w:hAnsi="宋体"/>
          <w:sz w:val="24"/>
          <w:highlight w:val="none"/>
        </w:rPr>
        <w:t xml:space="preserve">       </w:t>
      </w:r>
      <w:r>
        <w:rPr>
          <w:rFonts w:hint="eastAsia" w:ascii="宋体" w:hAnsi="宋体"/>
          <w:sz w:val="24"/>
          <w:highlight w:val="none"/>
        </w:rPr>
        <w:t xml:space="preserve">（4）甲乙双方商定的其他文件等。</w:t>
      </w:r>
      <w:r>
        <w:rPr>
          <w:rFonts w:ascii="宋体" w:hAnsi="宋体"/>
          <w:sz w:val="24"/>
          <w:highlight w:val="none"/>
        </w:rPr>
      </w:r>
      <w:r/>
    </w:p>
    <w:p>
      <w:pPr>
        <w:pStyle w:val="1039"/>
        <w:ind w:firstLine="482"/>
        <w:spacing w:line="360" w:lineRule="auto"/>
        <w:rPr>
          <w:rFonts w:hint="eastAsia" w:ascii="宋体" w:hAnsi="宋体"/>
          <w:b/>
          <w:bCs/>
          <w:sz w:val="24"/>
          <w:highlight w:val="none"/>
        </w:rPr>
      </w:pPr>
      <w:r>
        <w:rPr>
          <w:rFonts w:hint="eastAsia" w:ascii="宋体" w:hAnsi="宋体"/>
          <w:b/>
          <w:bCs/>
          <w:sz w:val="24"/>
          <w:highlight w:val="none"/>
        </w:rPr>
        <w:t xml:space="preserve">第四条 合同款结算及支付</w:t>
      </w:r>
      <w:r>
        <w:rPr>
          <w:rFonts w:hint="eastAsia" w:ascii="宋体" w:hAnsi="宋体"/>
          <w:b/>
          <w:bCs/>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1.本合同项下所有款项均以人民币支付。</w:t>
      </w:r>
      <w:r>
        <w:rPr>
          <w:rFonts w:hint="eastAsia" w:ascii="宋体" w:hAnsi="宋体"/>
          <w:sz w:val="24"/>
          <w:highlight w:val="none"/>
        </w:rPr>
      </w:r>
      <w:r/>
    </w:p>
    <w:p>
      <w:pPr>
        <w:pStyle w:val="1039"/>
        <w:contextualSpacing/>
        <w:ind w:firstLine="480"/>
        <w:spacing w:line="360" w:lineRule="auto"/>
        <w:rPr>
          <w:rFonts w:hint="eastAsia" w:ascii="宋体" w:hAnsi="宋体"/>
          <w:b/>
          <w:bCs/>
          <w:sz w:val="24"/>
          <w:highlight w:val="none"/>
        </w:rPr>
      </w:pPr>
      <w:r>
        <w:rPr>
          <w:rFonts w:hint="eastAsia" w:ascii="宋体" w:hAnsi="宋体"/>
          <w:sz w:val="24"/>
          <w:highlight w:val="none"/>
        </w:rPr>
        <w:t xml:space="preserve">2.结算原则：</w:t>
      </w:r>
      <w:r>
        <w:rPr>
          <w:rFonts w:hint="eastAsia" w:ascii="Times New Roman" w:hAnsi="Times New Roman" w:eastAsia="宋体" w:cs="Times New Roman"/>
          <w:sz w:val="24"/>
          <w:highlight w:val="none"/>
        </w:rPr>
        <w:t xml:space="preserve">各类食材价格实行优质优价，按照不高于常州市价格通网站农贸市场价格的均价*（1-优惠率）的价格确定供应价。如无常州市价格通网站农贸市场价格参考价，其价格不高于甲方当天当地市场平均零售价，零售价的采集以溧阳市边界市场、西城市场、燕鸣菜场为样本，取其平均值为市场价，结算时按（1-</w:t>
      </w:r>
      <w:r>
        <w:rPr>
          <w:rFonts w:hint="eastAsia" w:ascii="Times New Roman" w:hAnsi="Times New Roman" w:eastAsia="宋体" w:cs="Times New Roman"/>
          <w:sz w:val="24"/>
          <w:highlight w:val="none"/>
          <w:lang w:val="en-US" w:eastAsia="zh-CN"/>
        </w:rPr>
        <w:t xml:space="preserve">成交</w:t>
      </w:r>
      <w:r>
        <w:rPr>
          <w:rFonts w:hint="eastAsia" w:ascii="Times New Roman" w:hAnsi="Times New Roman" w:eastAsia="宋体" w:cs="Times New Roman"/>
          <w:sz w:val="24"/>
          <w:highlight w:val="none"/>
        </w:rPr>
        <w:t xml:space="preserve">优惠率）结算。货款每月一结。供应商需开具正规的税务发票并及时送达采购人，逾期产生的责任由供应商承担。</w:t>
      </w:r>
      <w:r>
        <w:rPr>
          <w:rFonts w:hint="eastAsia" w:ascii="宋体" w:hAnsi="宋体"/>
          <w:b/>
          <w:bCs/>
          <w:sz w:val="24"/>
          <w:highlight w:val="none"/>
        </w:rPr>
      </w:r>
      <w:r/>
    </w:p>
    <w:p>
      <w:pPr>
        <w:pStyle w:val="1039"/>
        <w:ind w:firstLine="482"/>
        <w:spacing w:line="360" w:lineRule="auto"/>
        <w:rPr>
          <w:rFonts w:hint="eastAsia" w:ascii="宋体" w:hAnsi="宋体"/>
          <w:b/>
          <w:bCs/>
          <w:sz w:val="24"/>
          <w:highlight w:val="none"/>
        </w:rPr>
      </w:pPr>
      <w:r>
        <w:rPr>
          <w:rFonts w:hint="eastAsia" w:ascii="宋体" w:hAnsi="宋体"/>
          <w:b/>
          <w:bCs/>
          <w:sz w:val="24"/>
          <w:highlight w:val="none"/>
        </w:rPr>
        <w:t xml:space="preserve">第五条 违约责任</w:t>
      </w:r>
      <w:r>
        <w:rPr>
          <w:rFonts w:hint="eastAsia" w:ascii="宋体" w:hAnsi="宋体"/>
          <w:b/>
          <w:bCs/>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2.甲方未按合同规定的期限向乙方支付货款的，每逾期1天甲方向乙方偿付欠款总额的5‰滞纳金，但累计滞纳金总额不超过欠款总额的5%。</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sz w:val="24"/>
          <w:highlight w:val="none"/>
        </w:rPr>
      </w:r>
      <w:r/>
    </w:p>
    <w:p>
      <w:pPr>
        <w:pStyle w:val="1039"/>
        <w:ind w:firstLine="480"/>
        <w:spacing w:line="360" w:lineRule="auto"/>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.其他未尽事宜，以《民法典》等有关法律法规规定为准，无相关规定的，双方协商解决。</w:t>
      </w:r>
      <w:r>
        <w:rPr>
          <w:rFonts w:ascii="宋体" w:hAnsi="宋体"/>
          <w:sz w:val="24"/>
          <w:highlight w:val="none"/>
        </w:rPr>
      </w:r>
      <w:r/>
    </w:p>
    <w:p>
      <w:pPr>
        <w:pStyle w:val="1039"/>
        <w:ind w:firstLine="482"/>
        <w:spacing w:line="360" w:lineRule="auto"/>
        <w:rPr>
          <w:rFonts w:hint="eastAsia" w:ascii="宋体" w:hAnsi="宋体"/>
          <w:b/>
          <w:bCs/>
          <w:sz w:val="24"/>
          <w:highlight w:val="none"/>
        </w:rPr>
      </w:pPr>
      <w:r>
        <w:rPr>
          <w:rFonts w:hint="eastAsia" w:ascii="宋体" w:hAnsi="宋体"/>
          <w:b/>
          <w:bCs/>
          <w:sz w:val="24"/>
          <w:highlight w:val="none"/>
        </w:rPr>
        <w:t xml:space="preserve">第六条 争议的解决</w:t>
      </w:r>
      <w:r>
        <w:rPr>
          <w:rFonts w:hint="eastAsia" w:ascii="宋体" w:hAnsi="宋体"/>
          <w:b/>
          <w:bCs/>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1.因履行本合同引起的或与本合同有关的争议，甲、乙双方应首先通过友好协商解决，如果协商不能解决争议，则采取以下第（ </w:t>
      </w:r>
      <w:r>
        <w:rPr>
          <w:rFonts w:ascii="宋体" w:hAnsi="宋体"/>
          <w:sz w:val="24"/>
          <w:highlight w:val="none"/>
        </w:rPr>
        <w:t xml:space="preserve"> </w:t>
      </w:r>
      <w:r>
        <w:rPr>
          <w:rFonts w:hint="eastAsia" w:ascii="宋体" w:hAnsi="宋体"/>
          <w:sz w:val="24"/>
          <w:highlight w:val="none"/>
        </w:rPr>
        <w:t xml:space="preserve">）种方式解决争议：</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（1）向甲方所在地人民法院提起诉讼；</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（2）向甲方所在地仲裁委员会按其仲裁规则申请仲裁。</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如没有约定，默认采取第2种方式解决争议。</w:t>
      </w:r>
      <w:r>
        <w:rPr>
          <w:rFonts w:hint="eastAsia" w:ascii="宋体" w:hAnsi="宋体"/>
          <w:sz w:val="24"/>
          <w:highlight w:val="none"/>
        </w:rPr>
      </w:r>
      <w:r/>
    </w:p>
    <w:p>
      <w:pPr>
        <w:pStyle w:val="1039"/>
        <w:ind w:firstLine="480"/>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.在法院审理和仲裁期间，除有争议部分外，本合同其他部分应继续履行。</w:t>
      </w:r>
      <w:r>
        <w:rPr>
          <w:rFonts w:hint="eastAsia" w:ascii="宋体" w:hAnsi="宋体"/>
          <w:sz w:val="24"/>
          <w:highlight w:val="none"/>
        </w:rPr>
      </w:r>
      <w:r/>
    </w:p>
    <w:p>
      <w:pPr>
        <w:pStyle w:val="1039"/>
        <w:ind w:firstLine="482"/>
        <w:spacing w:line="360" w:lineRule="auto"/>
        <w:rPr>
          <w:rFonts w:hint="eastAsia" w:ascii="宋体" w:hAnsi="宋体"/>
          <w:b/>
          <w:bCs/>
          <w:sz w:val="24"/>
          <w:highlight w:val="none"/>
        </w:rPr>
      </w:pPr>
      <w:r>
        <w:rPr>
          <w:rFonts w:hint="eastAsia" w:ascii="宋体" w:hAnsi="宋体"/>
          <w:b/>
          <w:bCs/>
          <w:sz w:val="24"/>
          <w:highlight w:val="none"/>
        </w:rPr>
        <w:t xml:space="preserve">第七条 合同生效及其他</w:t>
      </w:r>
      <w:r>
        <w:rPr>
          <w:rFonts w:hint="eastAsia" w:ascii="宋体" w:hAnsi="宋体"/>
          <w:b/>
          <w:bCs/>
          <w:sz w:val="24"/>
          <w:highlight w:val="none"/>
        </w:rPr>
      </w:r>
      <w:r/>
    </w:p>
    <w:p>
      <w:pPr>
        <w:pStyle w:val="1039"/>
        <w:ind w:firstLine="480"/>
        <w:spacing w:line="360" w:lineRule="auto"/>
        <w:rPr>
          <w:rFonts w:ascii="宋体" w:hAnsi="宋体"/>
          <w:sz w:val="24"/>
          <w:highlight w:val="none"/>
        </w:rPr>
      </w:pPr>
      <w:r>
        <w:rPr>
          <w:rFonts w:hint="eastAsia" w:ascii="宋体" w:hAnsi="宋体"/>
          <w:sz w:val="24"/>
          <w:highlight w:val="none"/>
        </w:rPr>
        <w:t xml:space="preserve">1.本合同自经甲乙双方授权代表签订并加盖公章后，自签订之日起生效。</w:t>
      </w:r>
      <w:r>
        <w:rPr>
          <w:rFonts w:ascii="宋体" w:hAnsi="宋体"/>
          <w:sz w:val="24"/>
          <w:highlight w:val="none"/>
        </w:rPr>
      </w:r>
      <w:r/>
    </w:p>
    <w:p>
      <w:pPr>
        <w:pStyle w:val="1039"/>
        <w:ind w:firstLine="480"/>
        <w:spacing w:line="360" w:lineRule="auto"/>
        <w:rPr>
          <w:rFonts w:hint="eastAsia" w:ascii="宋体" w:hAnsi="宋体"/>
          <w:sz w:val="24"/>
          <w:highlight w:val="none"/>
        </w:rPr>
      </w:pPr>
      <w:r>
        <w:rPr>
          <w:rFonts w:hint="eastAsia" w:ascii="宋体" w:hAnsi="宋体"/>
          <w:sz w:val="24"/>
          <w:highlight w:val="none"/>
        </w:rPr>
        <w:t xml:space="preserve">2.本合同一式肆份，甲乙双方各执贰份。</w:t>
      </w:r>
      <w:r>
        <w:rPr>
          <w:rFonts w:hint="eastAsia" w:ascii="宋体" w:hAnsi="宋体"/>
          <w:sz w:val="24"/>
          <w:highlight w:val="none"/>
        </w:rPr>
      </w:r>
      <w:r/>
    </w:p>
    <w:p>
      <w:pPr>
        <w:pStyle w:val="1039"/>
        <w:ind w:firstLine="480"/>
        <w:spacing w:line="360" w:lineRule="auto"/>
        <w:rPr>
          <w:rFonts w:ascii="宋体" w:hAnsi="宋体"/>
          <w:sz w:val="24"/>
          <w:highlight w:val="none"/>
        </w:rPr>
      </w:pPr>
      <w:r>
        <w:rPr>
          <w:rFonts w:hint="eastAsia" w:ascii="宋体" w:hAnsi="宋体"/>
          <w:sz w:val="24"/>
          <w:highlight w:val="none"/>
        </w:rPr>
        <w:t xml:space="preserve">3.本合同应按照中华人民共和国的现行法律进行解释。</w:t>
      </w:r>
      <w:r>
        <w:rPr>
          <w:rFonts w:ascii="宋体" w:hAnsi="宋体"/>
          <w:sz w:val="24"/>
          <w:highlight w:val="none"/>
        </w:rPr>
      </w:r>
      <w:r/>
    </w:p>
    <w:p>
      <w:pPr>
        <w:pStyle w:val="1039"/>
        <w:ind w:firstLine="480"/>
        <w:spacing w:line="480" w:lineRule="auto"/>
        <w:rPr>
          <w:rFonts w:ascii="宋体" w:hAnsi="宋体"/>
          <w:b/>
          <w:bCs/>
          <w:sz w:val="24"/>
          <w:highlight w:val="none"/>
        </w:rPr>
      </w:pPr>
      <w:r>
        <w:rPr>
          <w:rFonts w:hint="eastAsia" w:ascii="宋体" w:hAnsi="宋体"/>
          <w:b/>
          <w:bCs/>
          <w:sz w:val="24"/>
          <w:highlight w:val="none"/>
        </w:rPr>
        <w:t xml:space="preserve">甲方： </w:t>
      </w:r>
      <w:r>
        <w:rPr>
          <w:rFonts w:ascii="宋体" w:hAnsi="宋体"/>
          <w:b/>
          <w:bCs/>
          <w:sz w:val="24"/>
          <w:highlight w:val="none"/>
        </w:rPr>
        <w:t xml:space="preserve">                                </w:t>
      </w:r>
      <w:r>
        <w:rPr>
          <w:rFonts w:hint="eastAsia" w:ascii="宋体" w:hAnsi="宋体"/>
          <w:b/>
          <w:bCs/>
          <w:sz w:val="24"/>
          <w:highlight w:val="none"/>
        </w:rPr>
        <w:t xml:space="preserve">乙方：</w:t>
      </w:r>
      <w:r>
        <w:rPr>
          <w:rFonts w:ascii="宋体" w:hAnsi="宋体"/>
          <w:b/>
          <w:bCs/>
          <w:sz w:val="24"/>
          <w:highlight w:val="none"/>
        </w:rPr>
      </w:r>
      <w:r/>
    </w:p>
    <w:p>
      <w:pPr>
        <w:pStyle w:val="1039"/>
        <w:ind w:firstLine="480"/>
        <w:spacing w:line="480" w:lineRule="auto"/>
        <w:rPr>
          <w:rFonts w:ascii="宋体" w:hAnsi="宋体"/>
          <w:sz w:val="24"/>
          <w:highlight w:val="none"/>
        </w:rPr>
      </w:pPr>
      <w:r>
        <w:rPr>
          <w:rFonts w:hint="eastAsia" w:ascii="宋体" w:hAnsi="宋体"/>
          <w:sz w:val="24"/>
          <w:highlight w:val="none"/>
        </w:rPr>
        <w:t xml:space="preserve">单位名称（公章）： </w:t>
      </w:r>
      <w:r>
        <w:rPr>
          <w:rFonts w:ascii="宋体" w:hAnsi="宋体"/>
          <w:sz w:val="24"/>
          <w:highlight w:val="none"/>
        </w:rPr>
        <w:t xml:space="preserve">                     </w:t>
      </w:r>
      <w:r>
        <w:rPr>
          <w:rFonts w:hint="eastAsia" w:ascii="宋体" w:hAnsi="宋体"/>
          <w:sz w:val="24"/>
          <w:highlight w:val="none"/>
        </w:rPr>
        <w:t xml:space="preserve">单位名称（公章）：</w:t>
      </w:r>
      <w:r>
        <w:rPr>
          <w:rFonts w:ascii="宋体" w:hAnsi="宋体"/>
          <w:sz w:val="24"/>
          <w:highlight w:val="none"/>
        </w:rPr>
      </w:r>
      <w:r/>
    </w:p>
    <w:p>
      <w:pPr>
        <w:pStyle w:val="1039"/>
        <w:ind w:firstLine="480"/>
        <w:spacing w:line="480" w:lineRule="auto"/>
        <w:rPr>
          <w:rFonts w:hint="eastAsia" w:ascii="宋体" w:hAnsi="宋体"/>
          <w:sz w:val="24"/>
          <w:highlight w:val="none"/>
        </w:rPr>
      </w:pPr>
      <w:r>
        <w:rPr>
          <w:rFonts w:hint="eastAsia" w:ascii="宋体" w:hAnsi="宋体"/>
          <w:sz w:val="24"/>
          <w:highlight w:val="none"/>
        </w:rPr>
        <w:t xml:space="preserve">单位地址： </w:t>
      </w:r>
      <w:r>
        <w:rPr>
          <w:rFonts w:ascii="宋体" w:hAnsi="宋体"/>
          <w:sz w:val="24"/>
          <w:highlight w:val="none"/>
        </w:rPr>
        <w:t xml:space="preserve">                            </w:t>
      </w:r>
      <w:r>
        <w:rPr>
          <w:rFonts w:hint="eastAsia" w:ascii="宋体" w:hAnsi="宋体"/>
          <w:sz w:val="24"/>
          <w:highlight w:val="none"/>
        </w:rPr>
        <w:t xml:space="preserve">单位地址：</w:t>
      </w:r>
      <w:r>
        <w:rPr>
          <w:rFonts w:hint="eastAsia" w:ascii="宋体" w:hAnsi="宋体"/>
          <w:sz w:val="24"/>
          <w:highlight w:val="none"/>
        </w:rPr>
      </w:r>
      <w:r/>
    </w:p>
    <w:p>
      <w:pPr>
        <w:pStyle w:val="1039"/>
        <w:ind w:firstLine="480"/>
        <w:spacing w:line="480" w:lineRule="auto"/>
        <w:rPr>
          <w:rFonts w:hint="eastAsia" w:ascii="宋体" w:hAnsi="宋体"/>
          <w:sz w:val="24"/>
          <w:highlight w:val="none"/>
        </w:rPr>
      </w:pPr>
      <w:r>
        <w:rPr>
          <w:rFonts w:hint="eastAsia" w:ascii="宋体" w:hAnsi="宋体"/>
          <w:sz w:val="24"/>
          <w:highlight w:val="none"/>
        </w:rPr>
        <w:t xml:space="preserve">法定（授权）代表人： </w:t>
      </w:r>
      <w:r>
        <w:rPr>
          <w:rFonts w:ascii="宋体" w:hAnsi="宋体"/>
          <w:sz w:val="24"/>
          <w:highlight w:val="none"/>
        </w:rPr>
        <w:t xml:space="preserve">                  </w:t>
      </w:r>
      <w:r>
        <w:rPr>
          <w:rFonts w:hint="eastAsia" w:ascii="宋体" w:hAnsi="宋体"/>
          <w:sz w:val="24"/>
          <w:highlight w:val="none"/>
        </w:rPr>
        <w:t xml:space="preserve">法定（授权）代表人：</w:t>
      </w:r>
      <w:r>
        <w:rPr>
          <w:rFonts w:hint="eastAsia" w:ascii="宋体" w:hAnsi="宋体"/>
          <w:sz w:val="24"/>
          <w:highlight w:val="none"/>
        </w:rPr>
      </w:r>
      <w:r/>
    </w:p>
    <w:p>
      <w:pPr>
        <w:pStyle w:val="1039"/>
        <w:ind w:firstLine="480"/>
        <w:spacing w:line="480" w:lineRule="auto"/>
        <w:rPr>
          <w:rFonts w:hint="eastAsia" w:ascii="宋体" w:hAnsi="宋体"/>
          <w:sz w:val="24"/>
          <w:highlight w:val="none"/>
        </w:rPr>
      </w:pPr>
      <w:r>
        <w:rPr>
          <w:rFonts w:hint="eastAsia" w:ascii="宋体" w:hAnsi="宋体"/>
          <w:sz w:val="24"/>
          <w:highlight w:val="none"/>
        </w:rPr>
        <w:t xml:space="preserve">电话： </w:t>
      </w:r>
      <w:r>
        <w:rPr>
          <w:rFonts w:ascii="宋体" w:hAnsi="宋体"/>
          <w:sz w:val="24"/>
          <w:highlight w:val="none"/>
        </w:rPr>
        <w:t xml:space="preserve">                                </w:t>
      </w:r>
      <w:r>
        <w:rPr>
          <w:rFonts w:hint="eastAsia" w:ascii="宋体" w:hAnsi="宋体"/>
          <w:sz w:val="24"/>
          <w:highlight w:val="none"/>
        </w:rPr>
        <w:t xml:space="preserve">电话：</w:t>
      </w:r>
      <w:r>
        <w:rPr>
          <w:rFonts w:hint="eastAsia" w:ascii="宋体" w:hAnsi="宋体"/>
          <w:sz w:val="24"/>
          <w:highlight w:val="none"/>
        </w:rPr>
      </w:r>
      <w:r/>
    </w:p>
    <w:p>
      <w:pPr>
        <w:pStyle w:val="1039"/>
        <w:spacing w:line="48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银行账号：</w:t>
      </w:r>
      <w:r>
        <w:rPr>
          <w:rFonts w:ascii="宋体" w:hAnsi="宋体"/>
          <w:sz w:val="24"/>
          <w:highlight w:val="none"/>
        </w:rPr>
      </w:r>
      <w:r/>
    </w:p>
    <w:p>
      <w:pPr>
        <w:pStyle w:val="1039"/>
        <w:ind w:firstLine="480"/>
        <w:spacing w:line="480" w:lineRule="auto"/>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开户银行：</w:t>
      </w:r>
      <w:r>
        <w:rPr>
          <w:rFonts w:hint="eastAsia" w:ascii="宋体" w:hAnsi="宋体"/>
          <w:sz w:val="24"/>
          <w:highlight w:val="none"/>
        </w:rPr>
      </w:r>
      <w:r/>
    </w:p>
    <w:p>
      <w:pPr>
        <w:pStyle w:val="1039"/>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响应文件格式</w:t>
      </w:r>
      <w:bookmarkEnd w:id="674"/>
      <w:r>
        <w:rPr>
          <w:b/>
          <w:sz w:val="36"/>
          <w:szCs w:val="36"/>
          <w:highlight w:val="none"/>
        </w:rPr>
      </w:r>
      <w:r/>
    </w:p>
    <w:p>
      <w:pPr>
        <w:pStyle w:val="1039"/>
        <w:jc w:val="left"/>
        <w:spacing w:line="360" w:lineRule="auto"/>
        <w:widowControl/>
        <w:rPr>
          <w:b/>
          <w:sz w:val="24"/>
          <w:highlight w:val="none"/>
        </w:rPr>
      </w:pPr>
      <w:r>
        <w:rPr>
          <w:b/>
          <w:sz w:val="24"/>
          <w:highlight w:val="none"/>
        </w:rPr>
      </w:r>
      <w:r/>
    </w:p>
    <w:p>
      <w:pPr>
        <w:pStyle w:val="1039"/>
        <w:jc w:val="left"/>
        <w:spacing w:line="360" w:lineRule="auto"/>
        <w:widowControl/>
        <w:rPr>
          <w:b/>
          <w:sz w:val="24"/>
          <w:highlight w:val="none"/>
        </w:rPr>
      </w:pPr>
      <w:r>
        <w:rPr>
          <w:b/>
          <w:sz w:val="24"/>
          <w:highlight w:val="none"/>
        </w:rPr>
      </w:r>
      <w:r/>
    </w:p>
    <w:p>
      <w:pPr>
        <w:pStyle w:val="1039"/>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1039"/>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1039"/>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对于竞争性磋商文件中标记了“实质性格式”文件的，供应商</w:t>
      </w:r>
      <w:r>
        <w:rPr>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1039"/>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1039"/>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039"/>
        <w:ind w:left="142"/>
        <w:spacing w:line="360" w:lineRule="auto"/>
        <w:tabs>
          <w:tab w:val="left" w:pos="900" w:leader="none"/>
          <w:tab w:val="left" w:pos="1980" w:leader="none"/>
        </w:tabs>
        <w:rPr>
          <w:sz w:val="24"/>
          <w:highlight w:val="none"/>
        </w:rPr>
      </w:pPr>
      <w:r>
        <w:rPr>
          <w:sz w:val="24"/>
          <w:highlight w:val="none"/>
        </w:rPr>
      </w:r>
      <w:r/>
    </w:p>
    <w:p>
      <w:pPr>
        <w:pStyle w:val="1039"/>
        <w:jc w:val="left"/>
        <w:widowControl/>
        <w:rPr>
          <w:sz w:val="24"/>
          <w:highlight w:val="none"/>
        </w:rPr>
      </w:pPr>
      <w:r>
        <w:rPr>
          <w:sz w:val="24"/>
          <w:highlight w:val="none"/>
        </w:rPr>
        <w:br w:type="page" w:clear="all"/>
      </w:r>
      <w:r>
        <w:rPr>
          <w:sz w:val="24"/>
          <w:highlight w:val="none"/>
        </w:rPr>
      </w:r>
      <w:r/>
    </w:p>
    <w:p>
      <w:pPr>
        <w:pStyle w:val="1039"/>
        <w:rPr>
          <w:b/>
          <w:spacing w:val="20"/>
          <w:szCs w:val="21"/>
          <w:highlight w:val="none"/>
        </w:rPr>
      </w:pPr>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b/>
          <w:spacing w:val="20"/>
          <w:szCs w:val="21"/>
          <w:highlight w:val="none"/>
        </w:rPr>
      </w:r>
      <w:r/>
    </w:p>
    <w:p>
      <w:pPr>
        <w:pStyle w:val="1039"/>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1039"/>
        <w:jc w:val="center"/>
        <w:rPr>
          <w:szCs w:val="21"/>
          <w:highlight w:val="none"/>
        </w:rPr>
      </w:pPr>
      <w:r>
        <w:rPr>
          <w:szCs w:val="21"/>
          <w:highlight w:val="none"/>
        </w:rPr>
      </w:r>
      <w:r/>
    </w:p>
    <w:p>
      <w:pPr>
        <w:pStyle w:val="1039"/>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39"/>
        <w:jc w:val="center"/>
        <w:rPr>
          <w:b/>
          <w:spacing w:val="60"/>
          <w:sz w:val="52"/>
          <w:szCs w:val="52"/>
          <w:highlight w:val="none"/>
        </w:rPr>
      </w:pPr>
      <w:r>
        <w:rPr>
          <w:b/>
          <w:spacing w:val="60"/>
          <w:sz w:val="52"/>
          <w:szCs w:val="52"/>
          <w:highlight w:val="none"/>
        </w:rPr>
      </w:r>
      <w:r/>
    </w:p>
    <w:p>
      <w:pPr>
        <w:pStyle w:val="1039"/>
        <w:ind w:firstLine="542"/>
        <w:rPr>
          <w:b/>
          <w:spacing w:val="20"/>
          <w:sz w:val="32"/>
          <w:szCs w:val="32"/>
          <w:highlight w:val="none"/>
        </w:rPr>
      </w:pPr>
      <w:r>
        <w:rPr>
          <w:b/>
          <w:spacing w:val="20"/>
          <w:sz w:val="32"/>
          <w:szCs w:val="32"/>
          <w:highlight w:val="none"/>
        </w:rPr>
      </w:r>
      <w:r/>
    </w:p>
    <w:p>
      <w:pPr>
        <w:pStyle w:val="1039"/>
        <w:ind w:firstLine="542"/>
        <w:rPr>
          <w:b/>
          <w:spacing w:val="20"/>
          <w:sz w:val="32"/>
          <w:szCs w:val="32"/>
          <w:highlight w:val="none"/>
        </w:rPr>
      </w:pPr>
      <w:r>
        <w:rPr>
          <w:b/>
          <w:spacing w:val="20"/>
          <w:sz w:val="32"/>
          <w:szCs w:val="32"/>
          <w:highlight w:val="none"/>
        </w:rPr>
      </w:r>
      <w:r/>
    </w:p>
    <w:p>
      <w:pPr>
        <w:pStyle w:val="1039"/>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9"/>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9"/>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039"/>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9"/>
        <w:jc w:val="center"/>
        <w:rPr>
          <w:b/>
          <w:sz w:val="32"/>
          <w:szCs w:val="32"/>
          <w:highlight w:val="none"/>
        </w:rPr>
      </w:pPr>
      <w:r>
        <w:rPr>
          <w:b/>
          <w:sz w:val="32"/>
          <w:szCs w:val="32"/>
          <w:highlight w:val="none"/>
        </w:rPr>
      </w:r>
      <w:r/>
    </w:p>
    <w:p>
      <w:pPr>
        <w:pStyle w:val="1039"/>
        <w:rPr>
          <w:b/>
          <w:highlight w:val="none"/>
        </w:rPr>
      </w:pPr>
      <w:r>
        <w:rPr>
          <w:b/>
          <w:spacing w:val="20"/>
          <w:sz w:val="32"/>
          <w:szCs w:val="32"/>
          <w:highlight w:val="none"/>
        </w:rPr>
        <w:br w:type="page" w:clear="all"/>
      </w:r>
      <w:r>
        <w:rPr>
          <w:b/>
          <w:highlight w:val="none"/>
        </w:rPr>
      </w:r>
      <w:r/>
    </w:p>
    <w:p>
      <w:pPr>
        <w:pStyle w:val="1039"/>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042"/>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039"/>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9"/>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061"/>
        <w:ind w:firstLine="480"/>
        <w:spacing w:line="460" w:lineRule="exact"/>
        <w:rPr>
          <w:highlight w:val="none"/>
        </w:rPr>
      </w:pPr>
      <w:r>
        <w:rPr>
          <w:highlight w:val="none"/>
        </w:rPr>
      </w:r>
      <w:r/>
    </w:p>
    <w:p>
      <w:pPr>
        <w:pStyle w:val="1061"/>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1061"/>
        <w:ind w:firstLine="480"/>
        <w:spacing w:line="460" w:lineRule="exact"/>
        <w:rPr>
          <w:highlight w:val="none"/>
        </w:rPr>
      </w:pPr>
      <w:r>
        <w:rPr>
          <w:highlight w:val="none"/>
        </w:rPr>
      </w:r>
      <w:r/>
    </w:p>
    <w:p>
      <w:pPr>
        <w:pStyle w:val="1061"/>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1061"/>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highlight w:val="none"/>
        </w:rPr>
      </w:r>
      <w:r/>
    </w:p>
    <w:p>
      <w:pPr>
        <w:pStyle w:val="1061"/>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1061"/>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061"/>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061"/>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61"/>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61"/>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61"/>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61"/>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061"/>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061"/>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61"/>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61"/>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61"/>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061"/>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061"/>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61"/>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61"/>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61"/>
        <w:ind w:firstLine="480"/>
        <w:spacing w:line="460" w:lineRule="exact"/>
        <w:rPr>
          <w:highlight w:val="none"/>
        </w:rPr>
      </w:pPr>
      <w:r>
        <w:rPr>
          <w:highlight w:val="none"/>
        </w:rPr>
      </w:r>
      <w:r/>
    </w:p>
    <w:p>
      <w:pPr>
        <w:pStyle w:val="1061"/>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61"/>
        <w:ind w:firstLine="480"/>
        <w:spacing w:line="460" w:lineRule="exact"/>
        <w:rPr>
          <w:highlight w:val="none"/>
        </w:rPr>
      </w:pPr>
      <w:r>
        <w:rPr>
          <w:highlight w:val="none"/>
        </w:rPr>
      </w:r>
      <w:r/>
    </w:p>
    <w:p>
      <w:pPr>
        <w:pStyle w:val="1061"/>
        <w:ind w:firstLine="480"/>
        <w:spacing w:line="460" w:lineRule="exact"/>
        <w:rPr>
          <w:highlight w:val="none"/>
        </w:rPr>
      </w:pPr>
      <w:r>
        <w:rPr>
          <w:highlight w:val="none"/>
        </w:rPr>
      </w:r>
      <w:r/>
    </w:p>
    <w:p>
      <w:pPr>
        <w:pStyle w:val="1061"/>
        <w:ind w:firstLine="480"/>
        <w:spacing w:line="460" w:lineRule="exact"/>
        <w:rPr>
          <w:highlight w:val="none"/>
        </w:rPr>
      </w:pPr>
      <w:r>
        <w:rPr>
          <w:rFonts w:hint="eastAsia"/>
          <w:highlight w:val="none"/>
        </w:rPr>
        <w:t xml:space="preserve">                                            供应商：（加盖公章）</w:t>
      </w:r>
      <w:r>
        <w:rPr>
          <w:highlight w:val="none"/>
        </w:rPr>
      </w:r>
      <w:r/>
    </w:p>
    <w:p>
      <w:pPr>
        <w:pStyle w:val="1061"/>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61"/>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39"/>
        <w:spacing w:line="360" w:lineRule="auto"/>
        <w:rPr>
          <w:rFonts w:hint="eastAsia"/>
          <w:sz w:val="24"/>
          <w:highlight w:val="none"/>
        </w:rPr>
      </w:pPr>
      <w:r>
        <w:rPr>
          <w:rFonts w:hint="eastAsia"/>
          <w:sz w:val="24"/>
          <w:highlight w:val="none"/>
        </w:rPr>
      </w:r>
      <w:r/>
    </w:p>
    <w:p>
      <w:pPr>
        <w:pStyle w:val="1039"/>
        <w:spacing w:line="360" w:lineRule="auto"/>
        <w:rPr>
          <w:rFonts w:hint="eastAsia"/>
          <w:sz w:val="24"/>
          <w:highlight w:val="none"/>
        </w:rPr>
      </w:pPr>
      <w:r>
        <w:rPr>
          <w:rFonts w:hint="eastAsia"/>
          <w:sz w:val="24"/>
          <w:highlight w:val="none"/>
        </w:rPr>
      </w:r>
      <w:r/>
    </w:p>
    <w:p>
      <w:pPr>
        <w:pStyle w:val="1039"/>
        <w:spacing w:line="360" w:lineRule="auto"/>
        <w:rPr>
          <w:rFonts w:hint="eastAsia"/>
          <w:sz w:val="24"/>
          <w:highlight w:val="none"/>
        </w:rPr>
      </w:pPr>
      <w:r>
        <w:rPr>
          <w:rFonts w:hint="eastAsia"/>
          <w:sz w:val="24"/>
          <w:highlight w:val="none"/>
        </w:rPr>
      </w:r>
      <w:r/>
    </w:p>
    <w:p>
      <w:pPr>
        <w:pStyle w:val="1039"/>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39"/>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pStyle w:val="1039"/>
        <w:spacing w:line="360" w:lineRule="auto"/>
        <w:rPr>
          <w:sz w:val="24"/>
          <w:szCs w:val="20"/>
          <w:highlight w:val="none"/>
        </w:rPr>
        <w:outlineLvl w:val="2"/>
      </w:pPr>
      <w:r>
        <w:rPr>
          <w:sz w:val="24"/>
          <w:szCs w:val="20"/>
          <w:highlight w:val="none"/>
        </w:rPr>
        <w:t xml:space="preserve">2 落实政府采购政策需满足的资格要求</w:t>
      </w:r>
      <w:r>
        <w:rPr>
          <w:sz w:val="24"/>
          <w:szCs w:val="20"/>
          <w:highlight w:val="none"/>
        </w:rPr>
      </w:r>
      <w:r/>
    </w:p>
    <w:p>
      <w:pPr>
        <w:pStyle w:val="1039"/>
        <w:spacing w:line="360" w:lineRule="auto"/>
        <w:rPr>
          <w:sz w:val="24"/>
          <w:szCs w:val="20"/>
          <w:highlight w:val="none"/>
        </w:rPr>
        <w:outlineLvl w:val="2"/>
      </w:pPr>
      <w:r>
        <w:rPr>
          <w:sz w:val="24"/>
          <w:szCs w:val="20"/>
          <w:highlight w:val="none"/>
        </w:rPr>
        <w:t xml:space="preserve">2-1 中小企业声明函（实质性格式）</w:t>
      </w:r>
      <w:r>
        <w:rPr>
          <w:sz w:val="24"/>
          <w:szCs w:val="20"/>
          <w:highlight w:val="none"/>
        </w:rPr>
      </w:r>
      <w:r/>
    </w:p>
    <w:p>
      <w:pPr>
        <w:pStyle w:val="1039"/>
        <w:spacing w:line="360" w:lineRule="auto"/>
        <w:tabs>
          <w:tab w:val="left" w:pos="5580" w:leader="none"/>
        </w:tabs>
        <w:rPr>
          <w:sz w:val="24"/>
          <w:highlight w:val="none"/>
        </w:rPr>
      </w:pPr>
      <w:r>
        <w:rPr>
          <w:sz w:val="24"/>
          <w:highlight w:val="none"/>
        </w:rPr>
      </w:r>
      <w:r/>
    </w:p>
    <w:p>
      <w:pPr>
        <w:pStyle w:val="1039"/>
        <w:spacing w:line="360" w:lineRule="auto"/>
        <w:tabs>
          <w:tab w:val="left" w:pos="5580" w:leader="none"/>
        </w:tabs>
        <w:rPr>
          <w:sz w:val="24"/>
          <w:highlight w:val="none"/>
        </w:rPr>
      </w:pPr>
      <w:r>
        <w:rPr>
          <w:sz w:val="24"/>
          <w:highlight w:val="none"/>
        </w:rPr>
        <w:t xml:space="preserve">说明：</w:t>
      </w:r>
      <w:r>
        <w:rPr>
          <w:sz w:val="24"/>
          <w:highlight w:val="none"/>
        </w:rPr>
      </w:r>
      <w:r/>
    </w:p>
    <w:p>
      <w:pPr>
        <w:pStyle w:val="1039"/>
        <w:spacing w:line="360" w:lineRule="auto"/>
        <w:tabs>
          <w:tab w:val="left" w:pos="5580" w:leader="none"/>
        </w:tabs>
        <w:rPr>
          <w:sz w:val="24"/>
          <w:highlight w:val="none"/>
        </w:rPr>
      </w:pPr>
      <w:r>
        <w:rPr>
          <w:sz w:val="24"/>
          <w:highlight w:val="none"/>
        </w:rPr>
        <w:t xml:space="preserve">（</w:t>
      </w:r>
      <w:r>
        <w:rPr>
          <w:rFonts w:hint="eastAsia"/>
          <w:sz w:val="24"/>
          <w:highlight w:val="none"/>
        </w:rPr>
        <w:t xml:space="preserve">1</w:t>
      </w:r>
      <w:r>
        <w:rPr>
          <w:sz w:val="24"/>
          <w:highlight w:val="none"/>
        </w:rPr>
        <w:t xml:space="preserve">）如本项目专门面向中小企业采购，须提供《中小企业声明函》</w:t>
      </w:r>
      <w:r>
        <w:rPr>
          <w:sz w:val="24"/>
          <w:szCs w:val="20"/>
          <w:highlight w:val="none"/>
        </w:rPr>
        <w:t xml:space="preserve">（实质性格式）</w:t>
      </w:r>
      <w:r>
        <w:rPr>
          <w:sz w:val="24"/>
          <w:highlight w:val="none"/>
        </w:rPr>
        <w:t xml:space="preserve">。</w:t>
      </w:r>
      <w:r>
        <w:rPr>
          <w:sz w:val="24"/>
          <w:highlight w:val="none"/>
        </w:rPr>
      </w:r>
      <w:r/>
    </w:p>
    <w:p>
      <w:pPr>
        <w:pStyle w:val="1039"/>
        <w:spacing w:line="360" w:lineRule="auto"/>
        <w:tabs>
          <w:tab w:val="left" w:pos="5580" w:leader="none"/>
        </w:tabs>
        <w:rPr>
          <w:sz w:val="24"/>
          <w:highlight w:val="none"/>
        </w:rPr>
      </w:pPr>
      <w:r>
        <w:rPr>
          <w:sz w:val="24"/>
          <w:highlight w:val="none"/>
        </w:rPr>
        <w:t xml:space="preserve">（</w:t>
      </w:r>
      <w:r>
        <w:rPr>
          <w:rFonts w:hint="eastAsia"/>
          <w:sz w:val="24"/>
          <w:highlight w:val="none"/>
        </w:rPr>
        <w:t xml:space="preserve">2</w:t>
      </w:r>
      <w:r>
        <w:rPr>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1039"/>
        <w:spacing w:line="360" w:lineRule="auto"/>
        <w:tabs>
          <w:tab w:val="left" w:pos="5580" w:leader="none"/>
        </w:tabs>
        <w:rPr>
          <w:sz w:val="24"/>
          <w:highlight w:val="none"/>
        </w:rPr>
      </w:pPr>
      <w:r>
        <w:rPr>
          <w:sz w:val="24"/>
          <w:highlight w:val="none"/>
        </w:rPr>
      </w:r>
      <w:r/>
    </w:p>
    <w:p>
      <w:pPr>
        <w:pStyle w:val="1039"/>
        <w:jc w:val="left"/>
        <w:widowControl/>
        <w:rPr>
          <w:sz w:val="24"/>
          <w:highlight w:val="none"/>
        </w:rPr>
      </w:pPr>
      <w:r>
        <w:rPr>
          <w:sz w:val="24"/>
          <w:highlight w:val="none"/>
        </w:rPr>
        <w:br w:type="page" w:clear="all"/>
      </w:r>
      <w:r>
        <w:rPr>
          <w:sz w:val="24"/>
          <w:highlight w:val="none"/>
        </w:rPr>
      </w:r>
      <w:r/>
    </w:p>
    <w:p>
      <w:pPr>
        <w:pStyle w:val="1039"/>
        <w:jc w:val="center"/>
        <w:spacing w:before="240" w:after="240" w:line="360" w:lineRule="auto"/>
        <w:rPr>
          <w:rFonts w:ascii="宋体" w:hAnsi="宋体" w:eastAsia="宋体" w:cs="Times New Roman"/>
          <w:b/>
          <w:bCs/>
          <w:sz w:val="36"/>
          <w:szCs w:val="36"/>
          <w:highlight w:val="none"/>
        </w:rPr>
      </w:pPr>
      <w:r>
        <w:rPr>
          <w:rFonts w:hint="eastAsia" w:ascii="宋体" w:hAnsi="宋体" w:eastAsia="宋体" w:cs="Times New Roman"/>
          <w:b/>
          <w:bCs/>
          <w:sz w:val="36"/>
          <w:szCs w:val="36"/>
          <w:highlight w:val="none"/>
        </w:rPr>
        <w:t xml:space="preserve">中小企业声明函（服务）格式</w:t>
      </w:r>
      <w:r>
        <w:rPr>
          <w:rFonts w:ascii="宋体" w:hAnsi="宋体" w:eastAsia="宋体" w:cs="Times New Roman"/>
          <w:b/>
          <w:bCs/>
          <w:sz w:val="36"/>
          <w:szCs w:val="36"/>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ascii="宋体" w:hAnsi="宋体" w:eastAsia="宋体" w:cs="Times New Roman"/>
          <w:spacing w:val="6"/>
          <w:sz w:val="24"/>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t xml:space="preserve">1.</w:t>
      </w:r>
      <w:r>
        <w:rPr>
          <w:rFonts w:ascii="宋体" w:hAnsi="宋体" w:eastAsia="宋体" w:cs="Times New Roman"/>
          <w:spacing w:val="6"/>
          <w:sz w:val="24"/>
          <w:highlight w:val="none"/>
          <w:u w:val="single"/>
        </w:rPr>
        <w:t xml:space="preserve">（标的名称）</w:t>
      </w:r>
      <w:r>
        <w:rPr>
          <w:rFonts w:ascii="宋体" w:hAnsi="宋体" w:eastAsia="宋体" w:cs="Times New Roman"/>
          <w:spacing w:val="6"/>
          <w:sz w:val="24"/>
          <w:highlight w:val="none"/>
        </w:rPr>
        <w:t xml:space="preserve">，属于</w:t>
      </w:r>
      <w:r>
        <w:rPr>
          <w:rFonts w:ascii="宋体" w:hAnsi="宋体" w:eastAsia="宋体" w:cs="Times New Roman"/>
          <w:spacing w:val="6"/>
          <w:sz w:val="24"/>
          <w:highlight w:val="none"/>
          <w:u w:val="single"/>
        </w:rPr>
        <w:t xml:space="preserve">（竞争性磋商文件中明确的所属行业）</w:t>
      </w:r>
      <w:r>
        <w:rPr>
          <w:rFonts w:ascii="宋体" w:hAnsi="宋体" w:eastAsia="宋体" w:cs="Times New Roman"/>
          <w:spacing w:val="6"/>
          <w:sz w:val="24"/>
          <w:highlight w:val="none"/>
        </w:rPr>
        <w:t xml:space="preserve">行业；承建（承接）企业为</w:t>
      </w:r>
      <w:r>
        <w:rPr>
          <w:rFonts w:ascii="宋体" w:hAnsi="宋体" w:eastAsia="宋体" w:cs="Times New Roman"/>
          <w:spacing w:val="6"/>
          <w:sz w:val="24"/>
          <w:highlight w:val="none"/>
          <w:u w:val="single"/>
        </w:rPr>
        <w:t xml:space="preserve">（企业名称）</w:t>
      </w:r>
      <w:r>
        <w:rPr>
          <w:rFonts w:ascii="宋体" w:hAnsi="宋体" w:eastAsia="宋体" w:cs="Times New Roman"/>
          <w:spacing w:val="6"/>
          <w:sz w:val="24"/>
          <w:highlight w:val="none"/>
        </w:rPr>
        <w:t xml:space="preserve">，从业人员______人，营业收入为______万元，资产总额为______万元</w:t>
      </w:r>
      <w:r>
        <w:rPr>
          <w:rFonts w:ascii="宋体" w:hAnsi="宋体" w:eastAsia="宋体" w:cs="Times New Roman"/>
          <w:spacing w:val="6"/>
          <w:sz w:val="24"/>
          <w:highlight w:val="none"/>
          <w:vertAlign w:val="superscript"/>
        </w:rPr>
        <w:t xml:space="preserve">1</w:t>
      </w:r>
      <w:r>
        <w:rPr>
          <w:rFonts w:ascii="宋体" w:hAnsi="宋体" w:eastAsia="宋体" w:cs="Times New Roman"/>
          <w:spacing w:val="6"/>
          <w:sz w:val="24"/>
          <w:highlight w:val="none"/>
        </w:rPr>
        <w:t xml:space="preserve">，属于（中型企业、小型企业、微型企业）；</w:t>
      </w:r>
      <w:r>
        <w:rPr>
          <w:rFonts w:ascii="宋体" w:hAnsi="宋体" w:eastAsia="宋体" w:cs="Times New Roman"/>
          <w:spacing w:val="6"/>
          <w:sz w:val="24"/>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t xml:space="preserve">2.</w:t>
      </w:r>
      <w:r>
        <w:rPr>
          <w:rFonts w:ascii="宋体" w:hAnsi="宋体" w:eastAsia="宋体" w:cs="Times New Roman"/>
          <w:spacing w:val="6"/>
          <w:sz w:val="24"/>
          <w:highlight w:val="none"/>
          <w:u w:val="single"/>
        </w:rPr>
        <w:t xml:space="preserve">（标的名称）</w:t>
      </w:r>
      <w:r>
        <w:rPr>
          <w:rFonts w:ascii="宋体" w:hAnsi="宋体" w:eastAsia="宋体" w:cs="Times New Roman"/>
          <w:spacing w:val="6"/>
          <w:sz w:val="24"/>
          <w:highlight w:val="none"/>
        </w:rPr>
        <w:t xml:space="preserve">，属于</w:t>
      </w:r>
      <w:r>
        <w:rPr>
          <w:rFonts w:ascii="宋体" w:hAnsi="宋体" w:eastAsia="宋体" w:cs="Times New Roman"/>
          <w:spacing w:val="6"/>
          <w:sz w:val="24"/>
          <w:highlight w:val="none"/>
          <w:u w:val="single"/>
        </w:rPr>
        <w:t xml:space="preserve">（竞争性磋商文件中明确的所属行业）</w:t>
      </w:r>
      <w:r>
        <w:rPr>
          <w:rFonts w:ascii="宋体" w:hAnsi="宋体" w:eastAsia="宋体" w:cs="Times New Roman"/>
          <w:spacing w:val="6"/>
          <w:sz w:val="24"/>
          <w:highlight w:val="none"/>
        </w:rPr>
        <w:t xml:space="preserve">行业；承建（承接）企业为</w:t>
      </w:r>
      <w:r>
        <w:rPr>
          <w:rFonts w:ascii="宋体" w:hAnsi="宋体" w:eastAsia="宋体" w:cs="Times New Roman"/>
          <w:spacing w:val="6"/>
          <w:sz w:val="24"/>
          <w:highlight w:val="none"/>
          <w:u w:val="single"/>
        </w:rPr>
        <w:t xml:space="preserve">（企业名称）</w:t>
      </w:r>
      <w:r>
        <w:rPr>
          <w:rFonts w:ascii="宋体" w:hAnsi="宋体" w:eastAsia="宋体" w:cs="Times New Roman"/>
          <w:spacing w:val="6"/>
          <w:sz w:val="24"/>
          <w:highlight w:val="none"/>
        </w:rPr>
        <w:t xml:space="preserve">，从业人员______人，营业收入为______万元，资产总额为______万元，属于</w:t>
      </w:r>
      <w:r>
        <w:rPr>
          <w:rFonts w:ascii="宋体" w:hAnsi="宋体" w:eastAsia="宋体" w:cs="Times New Roman"/>
          <w:spacing w:val="6"/>
          <w:sz w:val="24"/>
          <w:highlight w:val="none"/>
          <w:u w:val="single"/>
        </w:rPr>
        <w:t xml:space="preserve">（中型企业、小型企业、微型企业）</w:t>
      </w:r>
      <w:r>
        <w:rPr>
          <w:rFonts w:ascii="宋体" w:hAnsi="宋体" w:eastAsia="宋体" w:cs="Times New Roman"/>
          <w:spacing w:val="6"/>
          <w:sz w:val="24"/>
          <w:highlight w:val="none"/>
        </w:rPr>
        <w:t xml:space="preserve">；</w:t>
      </w:r>
      <w:r>
        <w:rPr>
          <w:rFonts w:ascii="宋体" w:hAnsi="宋体" w:eastAsia="宋体" w:cs="Times New Roman"/>
          <w:spacing w:val="6"/>
          <w:sz w:val="24"/>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t xml:space="preserve">……</w:t>
      </w:r>
      <w:r>
        <w:rPr>
          <w:rFonts w:ascii="宋体" w:hAnsi="宋体" w:eastAsia="宋体" w:cs="Times New Roman"/>
          <w:spacing w:val="6"/>
          <w:sz w:val="24"/>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t xml:space="preserve">以上企业，不属于大企业的分支机构，不存在控股股东为大企业的情形，也不存在与大企业的负责人为同一人的情形。</w:t>
      </w:r>
      <w:r>
        <w:rPr>
          <w:rFonts w:ascii="宋体" w:hAnsi="宋体" w:eastAsia="宋体" w:cs="Times New Roman"/>
          <w:spacing w:val="6"/>
          <w:sz w:val="24"/>
          <w:highlight w:val="none"/>
        </w:rPr>
      </w:r>
      <w:r/>
    </w:p>
    <w:p>
      <w:pPr>
        <w:pStyle w:val="1039"/>
        <w:ind w:firstLine="504"/>
        <w:spacing w:line="360" w:lineRule="auto"/>
        <w:rPr>
          <w:rFonts w:ascii="宋体" w:hAnsi="宋体" w:eastAsia="宋体" w:cs="Times New Roman"/>
          <w:spacing w:val="6"/>
          <w:sz w:val="24"/>
          <w:highlight w:val="none"/>
        </w:rPr>
      </w:pPr>
      <w:r>
        <w:rPr>
          <w:rFonts w:ascii="宋体" w:hAnsi="宋体" w:eastAsia="宋体" w:cs="Times New Roman"/>
          <w:spacing w:val="6"/>
          <w:sz w:val="24"/>
          <w:highlight w:val="none"/>
        </w:rPr>
        <w:t xml:space="preserve">本企业对上述声明内容的真实性负责。如有虚假，将依法承担相应责任。</w:t>
      </w:r>
      <w:r>
        <w:rPr>
          <w:rFonts w:ascii="宋体" w:hAnsi="宋体" w:eastAsia="宋体" w:cs="Times New Roman"/>
          <w:spacing w:val="6"/>
          <w:sz w:val="24"/>
          <w:highlight w:val="none"/>
        </w:rPr>
      </w:r>
      <w:r/>
    </w:p>
    <w:p>
      <w:pPr>
        <w:pStyle w:val="1039"/>
        <w:ind w:right="360" w:firstLine="480"/>
        <w:jc w:val="right"/>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39"/>
        <w:ind w:right="360" w:firstLine="480"/>
        <w:jc w:val="righ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企业名称（加盖公章）：________</w:t>
      </w:r>
      <w:r>
        <w:rPr>
          <w:rFonts w:ascii="宋体" w:hAnsi="宋体" w:eastAsia="宋体" w:cs="Times New Roman"/>
          <w:sz w:val="24"/>
          <w:highlight w:val="none"/>
        </w:rPr>
      </w:r>
      <w:r/>
    </w:p>
    <w:p>
      <w:pPr>
        <w:pStyle w:val="1039"/>
        <w:ind w:right="360" w:firstLine="480"/>
        <w:jc w:val="righ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日 期：________</w:t>
      </w:r>
      <w:r>
        <w:rPr>
          <w:rFonts w:ascii="宋体" w:hAnsi="宋体" w:eastAsia="宋体" w:cs="Times New Roman"/>
          <w:sz w:val="24"/>
          <w:highlight w:val="none"/>
        </w:rPr>
      </w:r>
      <w:r/>
    </w:p>
    <w:p>
      <w:pPr>
        <w:pStyle w:val="1039"/>
        <w:jc w:val="left"/>
        <w:rPr>
          <w:rFonts w:ascii="宋体" w:hAnsi="宋体" w:eastAsia="宋体" w:cs="Times New Roman"/>
          <w:sz w:val="24"/>
          <w:szCs w:val="21"/>
          <w:highlight w:val="none"/>
        </w:rPr>
      </w:pPr>
      <w:r>
        <w:rPr>
          <w:rFonts w:ascii="宋体" w:hAnsi="宋体" w:eastAsia="宋体" w:cs="Times New Roman"/>
          <w:sz w:val="24"/>
          <w:szCs w:val="21"/>
          <w:highlight w:val="none"/>
        </w:rPr>
      </w:r>
      <w:r/>
    </w:p>
    <w:p>
      <w:pPr>
        <w:pStyle w:val="1039"/>
        <w:jc w:val="left"/>
        <w:rPr>
          <w:rFonts w:ascii="宋体" w:hAnsi="宋体" w:eastAsia="宋体" w:cs="Times New Roman"/>
          <w:sz w:val="24"/>
          <w:szCs w:val="21"/>
          <w:highlight w:val="none"/>
        </w:rPr>
      </w:pPr>
      <w:r>
        <w:rPr>
          <w:rFonts w:ascii="宋体" w:hAnsi="宋体" w:eastAsia="宋体" w:cs="Times New Roman"/>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02"/>
      </w:tblGrid>
      <w:tr>
        <w:trPr/>
        <w:tc>
          <w:tcPr>
            <w:tcW w:w="8946" w:type="dxa"/>
            <w:vAlign w:val="top"/>
            <w:textDirection w:val="lrTb"/>
            <w:noWrap w:val="false"/>
          </w:tcPr>
          <w:p>
            <w:pPr>
              <w:pStyle w:val="1039"/>
              <w:jc w:val="left"/>
              <w:rPr>
                <w:rFonts w:ascii="宋体" w:hAnsi="宋体" w:eastAsia="宋体" w:cs="Times New Roman"/>
                <w:szCs w:val="21"/>
                <w:highlight w:val="none"/>
              </w:rPr>
            </w:pPr>
            <w:r>
              <w:rPr>
                <w:rFonts w:ascii="宋体" w:hAnsi="宋体" w:eastAsia="宋体" w:cs="Times New Roman"/>
                <w:szCs w:val="21"/>
                <w:highlight w:val="none"/>
                <w:vertAlign w:val="superscript"/>
              </w:rPr>
              <w:t xml:space="preserve">1</w:t>
            </w:r>
            <w:r>
              <w:rPr>
                <w:rFonts w:ascii="宋体" w:hAnsi="宋体" w:eastAsia="宋体" w:cs="Times New Roman"/>
                <w:szCs w:val="21"/>
                <w:highlight w:val="none"/>
              </w:rPr>
              <w:t xml:space="preserve">从业人员、营业收入、资产总额填报上一年度数据，无上一年度数据的新成立企业可不填报。</w:t>
            </w:r>
            <w:r>
              <w:rPr>
                <w:rFonts w:ascii="宋体" w:hAnsi="宋体" w:eastAsia="宋体" w:cs="Times New Roman"/>
                <w:szCs w:val="21"/>
                <w:highlight w:val="none"/>
              </w:rPr>
            </w:r>
            <w:r/>
          </w:p>
        </w:tc>
      </w:tr>
    </w:tbl>
    <w:p>
      <w:pPr>
        <w:pStyle w:val="1039"/>
        <w:jc w:val="left"/>
        <w:rPr>
          <w:rFonts w:ascii="宋体" w:hAnsi="宋体" w:eastAsia="宋体" w:cs="Times New Roman"/>
          <w:szCs w:val="21"/>
          <w:highlight w:val="none"/>
          <w:vertAlign w:val="superscript"/>
        </w:rPr>
      </w:pPr>
      <w:r>
        <w:rPr>
          <w:rFonts w:ascii="宋体" w:hAnsi="宋体" w:eastAsia="宋体" w:cs="Times New Roman"/>
          <w:szCs w:val="21"/>
          <w:highlight w:val="none"/>
          <w:vertAlign w:val="superscript"/>
        </w:rPr>
      </w:r>
      <w:r/>
    </w:p>
    <w:p>
      <w:pPr>
        <w:pStyle w:val="1039"/>
        <w:ind w:right="360" w:firstLine="480"/>
        <w:jc w:val="right"/>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39"/>
        <w:jc w:val="center"/>
        <w:spacing w:before="240" w:after="24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pStyle w:val="1039"/>
        <w:spacing w:line="360" w:lineRule="auto"/>
        <w:rPr>
          <w:sz w:val="24"/>
          <w:highlight w:val="none"/>
        </w:rPr>
      </w:pPr>
      <w:r>
        <w:rPr>
          <w:sz w:val="24"/>
          <w:highlight w:val="none"/>
        </w:rPr>
      </w:r>
      <w:r/>
    </w:p>
    <w:p>
      <w:pPr>
        <w:pStyle w:val="1039"/>
        <w:jc w:val="center"/>
        <w:spacing w:before="240" w:after="240" w:line="360" w:lineRule="auto"/>
        <w:rPr>
          <w:rFonts w:hint="eastAsia"/>
          <w:sz w:val="24"/>
          <w:szCs w:val="20"/>
          <w:highlight w:val="none"/>
        </w:rPr>
      </w:pPr>
      <w:r>
        <w:rPr>
          <w:sz w:val="24"/>
          <w:highlight w:val="none"/>
        </w:rPr>
        <w:br w:type="page" w:clear="all"/>
      </w:r>
      <w:r>
        <w:rPr>
          <w:rFonts w:hint="eastAsia"/>
          <w:sz w:val="24"/>
          <w:szCs w:val="20"/>
          <w:highlight w:val="none"/>
        </w:rPr>
      </w:r>
      <w:r/>
    </w:p>
    <w:p>
      <w:pPr>
        <w:pStyle w:val="1039"/>
        <w:jc w:val="center"/>
        <w:spacing w:before="240" w:after="240" w:line="360" w:lineRule="auto"/>
        <w:rPr>
          <w:sz w:val="24"/>
          <w:szCs w:val="20"/>
          <w:highlight w:val="none"/>
        </w:rPr>
      </w:pPr>
      <w:r>
        <w:rPr>
          <w:sz w:val="24"/>
          <w:szCs w:val="20"/>
          <w:highlight w:val="none"/>
        </w:rPr>
      </w:r>
      <w:r/>
    </w:p>
    <w:p>
      <w:pPr>
        <w:pStyle w:val="1039"/>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rPr>
          <w:b/>
          <w:sz w:val="36"/>
          <w:szCs w:val="36"/>
          <w:highlight w:val="none"/>
        </w:rPr>
      </w:r>
      <w:r/>
    </w:p>
    <w:p>
      <w:pPr>
        <w:pStyle w:val="1039"/>
        <w:jc w:val="center"/>
        <w:rPr>
          <w:sz w:val="36"/>
          <w:szCs w:val="36"/>
          <w:highlight w:val="none"/>
        </w:rPr>
      </w:pPr>
      <w:r>
        <w:rPr>
          <w:sz w:val="36"/>
          <w:szCs w:val="36"/>
          <w:highlight w:val="none"/>
        </w:rPr>
      </w:r>
      <w:r/>
    </w:p>
    <w:p>
      <w:pPr>
        <w:pStyle w:val="1039"/>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39"/>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39"/>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1039"/>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39"/>
        <w:ind w:firstLine="504"/>
        <w:spacing w:line="588" w:lineRule="exact"/>
        <w:rPr>
          <w:spacing w:val="6"/>
          <w:sz w:val="24"/>
          <w:highlight w:val="none"/>
        </w:rPr>
      </w:pPr>
      <w:r>
        <w:rPr>
          <w:spacing w:val="6"/>
          <w:sz w:val="24"/>
          <w:highlight w:val="none"/>
        </w:rPr>
      </w:r>
      <w:r/>
    </w:p>
    <w:p>
      <w:pPr>
        <w:pStyle w:val="1039"/>
        <w:ind w:firstLine="504"/>
        <w:spacing w:line="588" w:lineRule="exact"/>
        <w:rPr>
          <w:spacing w:val="6"/>
          <w:sz w:val="24"/>
          <w:highlight w:val="none"/>
        </w:rPr>
      </w:pPr>
      <w:r>
        <w:rPr>
          <w:spacing w:val="6"/>
          <w:sz w:val="24"/>
          <w:highlight w:val="none"/>
        </w:rPr>
      </w:r>
      <w:r/>
    </w:p>
    <w:p>
      <w:pPr>
        <w:pStyle w:val="1039"/>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1039"/>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39"/>
        <w:ind w:firstLine="480"/>
        <w:spacing w:line="360" w:lineRule="auto"/>
        <w:rPr>
          <w:i/>
          <w:iCs/>
          <w:sz w:val="24"/>
          <w:highlight w:val="none"/>
          <w:u w:val="single"/>
        </w:rPr>
      </w:pPr>
      <w:r>
        <w:rPr>
          <w:sz w:val="24"/>
          <w:szCs w:val="20"/>
          <w:highlight w:val="none"/>
        </w:rPr>
        <w:br w:type="page" w:clear="all"/>
      </w:r>
      <w:r>
        <w:rPr>
          <w:sz w:val="24"/>
          <w:highlight w:val="none"/>
        </w:rPr>
        <w:t xml:space="preserve">3.本项目的特定资格要求</w:t>
      </w:r>
      <w:r>
        <w:rPr>
          <w:i/>
          <w:iCs/>
          <w:sz w:val="24"/>
          <w:highlight w:val="none"/>
          <w:u w:val="single"/>
        </w:rPr>
      </w:r>
      <w:r/>
    </w:p>
    <w:p>
      <w:pPr>
        <w:pStyle w:val="1039"/>
        <w:ind w:firstLine="480"/>
        <w:spacing w:line="360" w:lineRule="auto"/>
        <w:tabs>
          <w:tab w:val="left" w:pos="900" w:leader="none"/>
          <w:tab w:val="left" w:pos="1134" w:leader="none"/>
          <w:tab w:val="left" w:pos="1589" w:leader="none"/>
          <w:tab w:val="left" w:pos="5521" w:leader="none"/>
        </w:tabs>
        <w:rPr>
          <w:sz w:val="24"/>
          <w:highlight w:val="none"/>
          <w:u w:val="single"/>
        </w:rPr>
      </w:pPr>
      <w:r>
        <w:rPr>
          <w:sz w:val="24"/>
          <w:highlight w:val="none"/>
        </w:rPr>
        <w:t xml:space="preserve">3.3其他特定资格要求</w:t>
      </w:r>
      <w:r>
        <w:rPr>
          <w:sz w:val="24"/>
          <w:szCs w:val="20"/>
          <w:highlight w:val="none"/>
        </w:rPr>
        <w:t xml:space="preserve">（实质性格式）</w:t>
      </w:r>
      <w:r>
        <w:rPr>
          <w:sz w:val="24"/>
          <w:highlight w:val="none"/>
          <w:u w:val="single"/>
        </w:rPr>
      </w:r>
      <w:r/>
    </w:p>
    <w:p>
      <w:pPr>
        <w:pStyle w:val="1039"/>
        <w:jc w:val="left"/>
        <w:widowControl/>
        <w:rPr>
          <w:sz w:val="24"/>
          <w:szCs w:val="20"/>
          <w:highlight w:val="none"/>
        </w:rPr>
      </w:pPr>
      <w:r>
        <w:rPr>
          <w:sz w:val="24"/>
          <w:szCs w:val="20"/>
          <w:highlight w:val="none"/>
        </w:rPr>
      </w:r>
      <w:r/>
    </w:p>
    <w:p>
      <w:pPr>
        <w:pStyle w:val="1039"/>
        <w:spacing w:line="360" w:lineRule="auto"/>
        <w:rPr>
          <w:rFonts w:hint="eastAsia"/>
          <w:sz w:val="24"/>
          <w:highlight w:val="none"/>
        </w:rPr>
        <w:outlineLvl w:val="2"/>
      </w:pPr>
      <w:r/>
      <w:bookmarkStart w:id="675" w:name="_Toc226337253"/>
      <w:r/>
      <w:bookmarkStart w:id="676" w:name="_Toc480942350"/>
      <w:r/>
      <w:bookmarkStart w:id="677" w:name="_Toc305158899"/>
      <w:r/>
      <w:bookmarkStart w:id="678" w:name="_Ref467988705"/>
      <w:r/>
      <w:bookmarkStart w:id="679" w:name="_Toc226309801"/>
      <w:r/>
      <w:bookmarkStart w:id="680" w:name="_Toc150774762"/>
      <w:r/>
      <w:bookmarkStart w:id="681" w:name="_Toc150480795"/>
      <w:r/>
      <w:bookmarkStart w:id="682" w:name="_Toc265228395"/>
      <w:r/>
      <w:bookmarkStart w:id="683" w:name="_Toc195842922"/>
      <w:r/>
      <w:bookmarkStart w:id="684" w:name="_Toc226965830"/>
      <w:r/>
      <w:bookmarkStart w:id="685" w:name="_Toc226965747"/>
      <w:r/>
      <w:bookmarkStart w:id="686" w:name="_Toc520356218"/>
      <w:r/>
      <w:bookmarkStart w:id="687" w:name="_Toc305158825"/>
      <w:r/>
      <w:bookmarkStart w:id="688" w:name="_Toc142311059"/>
      <w:r/>
      <w:bookmarkStart w:id="689" w:name="_Toc264969247"/>
      <w:r/>
      <w:bookmarkStart w:id="690" w:name="_Toc127151557"/>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rFonts w:hint="eastAsia"/>
          <w:sz w:val="24"/>
          <w:highlight w:val="none"/>
        </w:rPr>
        <w:outlineLvl w:val="2"/>
      </w:pPr>
      <w:r>
        <w:rPr>
          <w:rFonts w:hint="eastAsia"/>
          <w:sz w:val="24"/>
          <w:highlight w:val="none"/>
        </w:rPr>
      </w:r>
      <w:r/>
    </w:p>
    <w:p>
      <w:pPr>
        <w:pStyle w:val="1039"/>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响应</w:t>
      </w:r>
      <w:r>
        <w:rPr>
          <w:rFonts w:hint="eastAsia"/>
          <w:sz w:val="24"/>
          <w:highlight w:val="none"/>
        </w:rPr>
        <w:t xml:space="preserve">函</w:t>
      </w:r>
      <w:r>
        <w:rPr>
          <w:sz w:val="24"/>
          <w:szCs w:val="20"/>
          <w:highlight w:val="none"/>
        </w:rPr>
        <w:t xml:space="preserve">（实质性格式）</w:t>
      </w:r>
      <w:r>
        <w:rPr>
          <w:sz w:val="24"/>
          <w:szCs w:val="20"/>
          <w:highlight w:val="none"/>
        </w:rPr>
      </w:r>
      <w:r/>
    </w:p>
    <w:p>
      <w:pPr>
        <w:pStyle w:val="1039"/>
        <w:spacing w:line="360" w:lineRule="auto"/>
        <w:tabs>
          <w:tab w:val="left" w:pos="5580" w:leader="none"/>
        </w:tabs>
        <w:rPr>
          <w:sz w:val="24"/>
          <w:highlight w:val="none"/>
        </w:rPr>
      </w:pPr>
      <w:r>
        <w:rPr>
          <w:sz w:val="24"/>
          <w:highlight w:val="none"/>
        </w:rPr>
      </w:r>
      <w:r/>
    </w:p>
    <w:p>
      <w:pPr>
        <w:pStyle w:val="1039"/>
        <w:jc w:val="center"/>
        <w:spacing w:line="360" w:lineRule="auto"/>
        <w:rPr>
          <w:b/>
          <w:sz w:val="36"/>
          <w:szCs w:val="36"/>
          <w:highlight w:val="none"/>
        </w:rPr>
      </w:pPr>
      <w:r>
        <w:rPr>
          <w:rFonts w:hint="eastAsia"/>
          <w:b/>
          <w:sz w:val="36"/>
          <w:szCs w:val="36"/>
          <w:highlight w:val="none"/>
        </w:rPr>
        <w:t xml:space="preserve">响应函</w:t>
      </w:r>
      <w:r>
        <w:rPr>
          <w:b/>
          <w:sz w:val="36"/>
          <w:szCs w:val="36"/>
          <w:highlight w:val="none"/>
        </w:rPr>
      </w:r>
      <w:r/>
    </w:p>
    <w:p>
      <w:pPr>
        <w:pStyle w:val="1039"/>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w:t>
      </w:r>
      <w:r>
        <w:rPr>
          <w:sz w:val="24"/>
          <w:highlight w:val="none"/>
        </w:rPr>
      </w:r>
      <w:r/>
    </w:p>
    <w:p>
      <w:pPr>
        <w:pStyle w:val="1039"/>
        <w:spacing w:line="360" w:lineRule="auto"/>
        <w:tabs>
          <w:tab w:val="left" w:pos="5580" w:leader="none"/>
        </w:tabs>
        <w:rPr>
          <w:sz w:val="24"/>
          <w:szCs w:val="20"/>
          <w:highlight w:val="none"/>
        </w:rPr>
      </w:pPr>
      <w:r>
        <w:rPr>
          <w:sz w:val="24"/>
          <w:szCs w:val="20"/>
          <w:highlight w:val="none"/>
        </w:rPr>
      </w:r>
      <w:r/>
    </w:p>
    <w:p>
      <w:pPr>
        <w:pStyle w:val="1039"/>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我方参加你方就___________（项目名称，项目编号）组织的</w:t>
      </w:r>
      <w:r>
        <w:rPr>
          <w:rFonts w:hint="eastAsia"/>
          <w:sz w:val="24"/>
          <w:szCs w:val="20"/>
          <w:highlight w:val="none"/>
        </w:rPr>
        <w:t xml:space="preserve">政府采购</w:t>
      </w:r>
      <w:r>
        <w:rPr>
          <w:sz w:val="24"/>
          <w:szCs w:val="20"/>
          <w:highlight w:val="none"/>
        </w:rPr>
        <w:t xml:space="preserve">活动，并对此项目进行响应。</w:t>
      </w:r>
      <w:r>
        <w:rPr>
          <w:sz w:val="24"/>
          <w:szCs w:val="20"/>
          <w:highlight w:val="none"/>
        </w:rPr>
      </w:r>
      <w:r/>
    </w:p>
    <w:p>
      <w:pPr>
        <w:pStyle w:val="1039"/>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rPr>
          <w:sz w:val="24"/>
          <w:szCs w:val="20"/>
          <w:highlight w:val="none"/>
        </w:rPr>
      </w:r>
      <w:r/>
    </w:p>
    <w:p>
      <w:pPr>
        <w:pStyle w:val="1039"/>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rPr>
          <w:sz w:val="24"/>
          <w:szCs w:val="20"/>
          <w:highlight w:val="none"/>
        </w:rPr>
      </w:r>
      <w:r/>
    </w:p>
    <w:p>
      <w:pPr>
        <w:pStyle w:val="1039"/>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rPr>
          <w:sz w:val="24"/>
          <w:szCs w:val="20"/>
          <w:highlight w:val="none"/>
        </w:rPr>
      </w:r>
      <w:r/>
    </w:p>
    <w:p>
      <w:pPr>
        <w:pStyle w:val="1039"/>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rPr>
          <w:sz w:val="24"/>
          <w:szCs w:val="20"/>
          <w:highlight w:val="none"/>
        </w:rPr>
      </w:r>
      <w:r/>
    </w:p>
    <w:p>
      <w:pPr>
        <w:pStyle w:val="1039"/>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rPr>
          <w:sz w:val="24"/>
          <w:highlight w:val="none"/>
        </w:rPr>
      </w:r>
      <w:r/>
    </w:p>
    <w:p>
      <w:pPr>
        <w:pStyle w:val="1039"/>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rPr>
          <w:sz w:val="24"/>
          <w:highlight w:val="none"/>
        </w:rPr>
      </w:r>
      <w:r/>
    </w:p>
    <w:p>
      <w:pPr>
        <w:pStyle w:val="1039"/>
        <w:ind w:firstLine="480"/>
        <w:spacing w:line="360" w:lineRule="auto"/>
        <w:rPr>
          <w:sz w:val="24"/>
          <w:highlight w:val="none"/>
        </w:rPr>
      </w:pPr>
      <w:r>
        <w:rPr>
          <w:sz w:val="24"/>
          <w:highlight w:val="none"/>
        </w:rPr>
        <w:t xml:space="preserve">与本响应有关的一切正式往来信函请寄：</w:t>
      </w:r>
      <w:r>
        <w:rPr>
          <w:sz w:val="24"/>
          <w:highlight w:val="none"/>
        </w:rPr>
      </w:r>
      <w:r/>
    </w:p>
    <w:p>
      <w:pPr>
        <w:pStyle w:val="1039"/>
        <w:ind w:left="420"/>
        <w:spacing w:line="360" w:lineRule="auto"/>
        <w:tabs>
          <w:tab w:val="left" w:pos="5580" w:leader="none"/>
        </w:tabs>
        <w:rPr>
          <w:sz w:val="24"/>
          <w:szCs w:val="20"/>
          <w:highlight w:val="none"/>
        </w:rPr>
      </w:pPr>
      <w:r>
        <w:rPr>
          <w:sz w:val="24"/>
          <w:szCs w:val="20"/>
          <w:highlight w:val="none"/>
        </w:rPr>
      </w:r>
      <w:r/>
    </w:p>
    <w:p>
      <w:pPr>
        <w:pStyle w:val="1039"/>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rPr>
          <w:sz w:val="24"/>
          <w:szCs w:val="20"/>
          <w:highlight w:val="none"/>
        </w:rPr>
      </w:r>
      <w:r/>
    </w:p>
    <w:p>
      <w:pPr>
        <w:pStyle w:val="1039"/>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rPr>
          <w:sz w:val="24"/>
          <w:szCs w:val="20"/>
          <w:highlight w:val="none"/>
        </w:rPr>
      </w:r>
      <w:r/>
    </w:p>
    <w:p>
      <w:pPr>
        <w:pStyle w:val="1039"/>
        <w:ind w:left="420"/>
        <w:spacing w:line="360" w:lineRule="auto"/>
        <w:tabs>
          <w:tab w:val="left" w:pos="5580" w:leader="none"/>
        </w:tabs>
        <w:rPr>
          <w:sz w:val="24"/>
          <w:szCs w:val="20"/>
          <w:highlight w:val="none"/>
        </w:rPr>
      </w:pPr>
      <w:r>
        <w:rPr>
          <w:sz w:val="24"/>
          <w:szCs w:val="20"/>
          <w:highlight w:val="none"/>
        </w:rPr>
      </w:r>
      <w:r/>
    </w:p>
    <w:p>
      <w:pPr>
        <w:pStyle w:val="1039"/>
        <w:ind w:left="420"/>
        <w:spacing w:line="360" w:lineRule="auto"/>
        <w:tabs>
          <w:tab w:val="left" w:pos="5580" w:leader="none"/>
        </w:tabs>
        <w:rPr>
          <w:sz w:val="24"/>
          <w:szCs w:val="20"/>
          <w:highlight w:val="none"/>
        </w:rPr>
      </w:pPr>
      <w:r>
        <w:rPr>
          <w:sz w:val="24"/>
          <w:szCs w:val="20"/>
          <w:highlight w:val="none"/>
        </w:rPr>
        <w:t xml:space="preserve">供应商名称（加盖公章） ___________</w:t>
      </w:r>
      <w:r>
        <w:rPr>
          <w:sz w:val="24"/>
          <w:szCs w:val="20"/>
          <w:highlight w:val="none"/>
        </w:rPr>
      </w:r>
      <w:r/>
    </w:p>
    <w:p>
      <w:pPr>
        <w:pStyle w:val="1039"/>
        <w:ind w:left="420"/>
        <w:spacing w:line="360" w:lineRule="auto"/>
        <w:tabs>
          <w:tab w:val="left" w:pos="5580" w:leader="none"/>
        </w:tabs>
        <w:rPr>
          <w:sz w:val="24"/>
          <w:szCs w:val="20"/>
          <w:highlight w:val="none"/>
        </w:rPr>
      </w:pPr>
      <w:r>
        <w:rPr>
          <w:sz w:val="24"/>
          <w:szCs w:val="20"/>
          <w:highlight w:val="none"/>
        </w:rPr>
        <w:t xml:space="preserve">日期：_____年______月______日    </w:t>
      </w:r>
      <w:r>
        <w:rPr>
          <w:sz w:val="24"/>
          <w:szCs w:val="20"/>
          <w:highlight w:val="none"/>
        </w:rPr>
      </w:r>
      <w:r/>
    </w:p>
    <w:p>
      <w:pPr>
        <w:pStyle w:val="1039"/>
        <w:ind w:left="420"/>
        <w:spacing w:line="360" w:lineRule="auto"/>
        <w:tabs>
          <w:tab w:val="left" w:pos="5580" w:leader="none"/>
        </w:tabs>
        <w:rPr>
          <w:sz w:val="24"/>
          <w:szCs w:val="20"/>
          <w:highlight w:val="none"/>
          <w:u w:val="single"/>
        </w:rPr>
      </w:pPr>
      <w:r>
        <w:rPr>
          <w:sz w:val="24"/>
          <w:szCs w:val="20"/>
          <w:highlight w:val="none"/>
          <w:u w:val="single"/>
        </w:rPr>
      </w:r>
      <w:r/>
    </w:p>
    <w:p>
      <w:pPr>
        <w:pStyle w:val="1039"/>
        <w:jc w:val="left"/>
        <w:widowControl/>
        <w:rPr>
          <w:rFonts w:hint="eastAsia"/>
          <w:sz w:val="24"/>
          <w:highlight w:val="none"/>
        </w:rPr>
      </w:pPr>
      <w:r/>
      <w:bookmarkStart w:id="691" w:name="_Hlt520356243"/>
      <w:r/>
      <w:bookmarkEnd w:id="691"/>
      <w:r/>
      <w:bookmarkStart w:id="692" w:name="_Hlt520355938"/>
      <w:r/>
      <w:bookmarkEnd w:id="692"/>
      <w:r>
        <w:rPr>
          <w:sz w:val="24"/>
          <w:highlight w:val="none"/>
        </w:rPr>
        <w:br w:type="page" w:clear="all"/>
      </w:r>
      <w:r>
        <w:rPr>
          <w:rFonts w:hint="eastAsia"/>
          <w:sz w:val="24"/>
          <w:highlight w:val="none"/>
        </w:rPr>
      </w:r>
      <w:r/>
    </w:p>
    <w:p>
      <w:pPr>
        <w:pStyle w:val="1039"/>
        <w:jc w:val="left"/>
        <w:widowControl/>
        <w:rPr>
          <w:rFonts w:hint="eastAsia"/>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1039"/>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9"/>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9"/>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39"/>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39"/>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39"/>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1039"/>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39"/>
        <w:spacing w:line="560" w:lineRule="exact"/>
        <w:rPr>
          <w:rFonts w:ascii="宋体" w:hAnsi="宋体"/>
          <w:sz w:val="24"/>
          <w:highlight w:val="none"/>
        </w:rPr>
      </w:pPr>
      <w:r>
        <w:rPr>
          <w:rFonts w:ascii="宋体" w:hAnsi="宋体"/>
          <w:sz w:val="24"/>
          <w:highlight w:val="none"/>
        </w:rPr>
      </w:r>
      <w:r/>
    </w:p>
    <w:p>
      <w:pPr>
        <w:pStyle w:val="1070"/>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039"/>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1039"/>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39"/>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39"/>
        <w:jc w:val="left"/>
        <w:widowControl/>
        <w:rPr>
          <w:rFonts w:hint="eastAsia"/>
          <w:sz w:val="24"/>
          <w:highlight w:val="none"/>
        </w:rPr>
      </w:pPr>
      <w:r>
        <w:rPr>
          <w:rFonts w:hint="eastAsia"/>
          <w:sz w:val="24"/>
          <w:highlight w:val="none"/>
        </w:rPr>
      </w:r>
      <w:r/>
    </w:p>
    <w:p>
      <w:pPr>
        <w:pStyle w:val="1039"/>
        <w:jc w:val="left"/>
        <w:widowControl/>
        <w:rPr>
          <w:rFonts w:hint="eastAsia"/>
          <w:sz w:val="24"/>
          <w:highlight w:val="none"/>
        </w:rPr>
      </w:pPr>
      <w:r>
        <w:rPr>
          <w:rFonts w:hint="eastAsia"/>
          <w:sz w:val="24"/>
          <w:highlight w:val="none"/>
        </w:rPr>
      </w:r>
      <w:r/>
    </w:p>
    <w:p>
      <w:pPr>
        <w:pStyle w:val="1039"/>
        <w:jc w:val="left"/>
        <w:widowControl/>
        <w:rPr>
          <w:rFonts w:hint="eastAsia"/>
          <w:sz w:val="24"/>
          <w:highlight w:val="none"/>
        </w:rPr>
      </w:pPr>
      <w:r>
        <w:rPr>
          <w:rFonts w:hint="eastAsia"/>
          <w:sz w:val="24"/>
          <w:highlight w:val="none"/>
        </w:rPr>
      </w:r>
      <w:r/>
    </w:p>
    <w:p>
      <w:pPr>
        <w:pStyle w:val="1039"/>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039"/>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1039"/>
        <w:jc w:val="left"/>
        <w:spacing w:line="360" w:lineRule="auto"/>
        <w:tabs>
          <w:tab w:val="left" w:pos="5580" w:leader="none"/>
        </w:tabs>
        <w:rPr>
          <w:rFonts w:ascii="宋体" w:hAnsi="宋体"/>
          <w:i/>
          <w:sz w:val="24"/>
          <w:szCs w:val="20"/>
          <w:highlight w:val="none"/>
          <w:u w:val="singl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i/>
          <w:sz w:val="24"/>
          <w:szCs w:val="20"/>
          <w:highlight w:val="none"/>
          <w:u w:val="single"/>
        </w:rPr>
      </w:r>
      <w:r/>
    </w:p>
    <w:p>
      <w:pPr>
        <w:pStyle w:val="1039"/>
        <w:jc w:val="left"/>
        <w:widowControl/>
        <w:rPr>
          <w:rFonts w:hint="eastAsia"/>
          <w:sz w:val="24"/>
          <w:highlight w:val="none"/>
        </w:rPr>
      </w:pPr>
      <w:r>
        <w:rPr>
          <w:rFonts w:hint="eastAsia"/>
          <w:sz w:val="24"/>
          <w:highlight w:val="none"/>
        </w:rPr>
      </w:r>
      <w:r/>
    </w:p>
    <w:p>
      <w:pPr>
        <w:pStyle w:val="1039"/>
        <w:jc w:val="left"/>
        <w:widowControl/>
        <w:rPr>
          <w:rFonts w:hint="eastAsia"/>
          <w:sz w:val="24"/>
          <w:highlight w:val="none"/>
        </w:rPr>
      </w:pPr>
      <w:r>
        <w:rPr>
          <w:rFonts w:hint="eastAsia"/>
          <w:sz w:val="24"/>
          <w:highlight w:val="none"/>
        </w:rPr>
      </w:r>
      <w:r/>
    </w:p>
    <w:p>
      <w:pPr>
        <w:pStyle w:val="1039"/>
        <w:jc w:val="left"/>
        <w:widowControl/>
        <w:rPr>
          <w:rFonts w:hint="eastAsia"/>
          <w:sz w:val="24"/>
          <w:highlight w:val="none"/>
        </w:rPr>
      </w:pPr>
      <w:r>
        <w:rPr>
          <w:rFonts w:hint="eastAsia"/>
          <w:sz w:val="24"/>
          <w:highlight w:val="none"/>
        </w:rPr>
      </w:r>
      <w:r/>
    </w:p>
    <w:p>
      <w:pPr>
        <w:pStyle w:val="1039"/>
        <w:jc w:val="left"/>
        <w:widowControl/>
        <w:rPr>
          <w:rFonts w:hint="eastAsia"/>
          <w:sz w:val="24"/>
          <w:highlight w:val="none"/>
        </w:rPr>
      </w:pPr>
      <w:r>
        <w:rPr>
          <w:rFonts w:hint="eastAsia"/>
          <w:sz w:val="24"/>
          <w:highlight w:val="none"/>
        </w:rPr>
      </w:r>
      <w:r/>
    </w:p>
    <w:p>
      <w:pPr>
        <w:pStyle w:val="1039"/>
        <w:jc w:val="left"/>
        <w:widowControl/>
        <w:rPr>
          <w:rFonts w:hint="eastAsia"/>
          <w:sz w:val="24"/>
          <w:highlight w:val="none"/>
        </w:rPr>
      </w:pPr>
      <w:r>
        <w:rPr>
          <w:rFonts w:hint="eastAsia"/>
          <w:sz w:val="24"/>
          <w:highlight w:val="none"/>
        </w:rPr>
        <w:t xml:space="preserve">3  政府采购供应商信用承诺书</w:t>
      </w:r>
      <w:r>
        <w:rPr>
          <w:sz w:val="24"/>
          <w:szCs w:val="20"/>
          <w:highlight w:val="none"/>
        </w:rPr>
        <w:t xml:space="preserve">（实质性格式）</w:t>
      </w:r>
      <w:r>
        <w:rPr>
          <w:rFonts w:hint="eastAsia"/>
          <w:sz w:val="24"/>
          <w:highlight w:val="none"/>
        </w:rPr>
      </w:r>
      <w:r/>
    </w:p>
    <w:p>
      <w:pPr>
        <w:pStyle w:val="1039"/>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9"/>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9"/>
        <w:ind w:firstLine="640"/>
        <w:rPr>
          <w:highlight w:val="none"/>
        </w:rPr>
      </w:pPr>
      <w:r>
        <w:rPr>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39"/>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8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39"/>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39"/>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39"/>
        <w:spacing w:line="360" w:lineRule="auto"/>
        <w:rPr>
          <w:sz w:val="24"/>
          <w:szCs w:val="20"/>
          <w:highlight w:val="none"/>
        </w:rPr>
        <w:outlineLvl w:val="2"/>
      </w:pPr>
      <w:r>
        <w:rPr>
          <w:sz w:val="24"/>
          <w:szCs w:val="20"/>
          <w:highlight w:val="none"/>
        </w:rPr>
        <w:br w:type="page" w:clear="all"/>
      </w:r>
      <w:r>
        <w:rPr>
          <w:sz w:val="24"/>
          <w:szCs w:val="20"/>
          <w:highlight w:val="none"/>
        </w:rPr>
      </w:r>
      <w:r/>
    </w:p>
    <w:p>
      <w:pPr>
        <w:pStyle w:val="1039"/>
        <w:spacing w:line="360" w:lineRule="auto"/>
        <w:rPr>
          <w:sz w:val="24"/>
          <w:szCs w:val="20"/>
          <w:highlight w:val="none"/>
        </w:rPr>
        <w:outlineLvl w:val="2"/>
      </w:pPr>
      <w:r>
        <w:rPr>
          <w:rFonts w:hint="eastAsia"/>
          <w:sz w:val="24"/>
          <w:szCs w:val="20"/>
          <w:highlight w:val="none"/>
        </w:rPr>
        <w:t xml:space="preserve">4</w:t>
      </w:r>
      <w:r>
        <w:rPr>
          <w:sz w:val="24"/>
          <w:szCs w:val="20"/>
          <w:highlight w:val="none"/>
        </w:rPr>
        <w:t xml:space="preserve">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sz w:val="24"/>
          <w:szCs w:val="20"/>
          <w:highlight w:val="none"/>
        </w:rPr>
      </w:r>
      <w:r/>
    </w:p>
    <w:p>
      <w:pPr>
        <w:pStyle w:val="1039"/>
        <w:jc w:val="center"/>
        <w:rPr>
          <w:b/>
          <w:sz w:val="36"/>
          <w:szCs w:val="36"/>
          <w:highlight w:val="none"/>
        </w:rPr>
      </w:pPr>
      <w:r/>
      <w:bookmarkStart w:id="693" w:name="_Toc265228396"/>
      <w:r/>
      <w:bookmarkStart w:id="694" w:name="_Toc264969248"/>
      <w:r/>
      <w:bookmarkStart w:id="695" w:name="_Toc164608827"/>
      <w:r/>
      <w:bookmarkStart w:id="696" w:name="_Toc226309802"/>
      <w:r/>
      <w:bookmarkStart w:id="697" w:name="_Toc226337254"/>
      <w:r/>
      <w:bookmarkStart w:id="698" w:name="_Toc305158826"/>
      <w:r/>
      <w:bookmarkStart w:id="699" w:name="_Toc195842923"/>
      <w:r/>
      <w:bookmarkStart w:id="700" w:name="_Toc164608672"/>
      <w:r/>
      <w:bookmarkStart w:id="701" w:name="_Toc226965748"/>
      <w:r/>
      <w:bookmarkStart w:id="702" w:name="_Toc226965831"/>
      <w:r/>
      <w:bookmarkStart w:id="703" w:name="_Toc305158900"/>
      <w:r>
        <w:rPr>
          <w:rFonts w:hint="eastAsia"/>
          <w:b/>
          <w:sz w:val="36"/>
          <w:szCs w:val="36"/>
          <w:highlight w:val="none"/>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Pr>
          <w:b/>
          <w:sz w:val="36"/>
          <w:szCs w:val="36"/>
          <w:highlight w:val="none"/>
        </w:rPr>
      </w:r>
      <w:r/>
    </w:p>
    <w:p>
      <w:pPr>
        <w:pStyle w:val="1039"/>
        <w:jc w:val="left"/>
        <w:spacing w:line="360" w:lineRule="auto"/>
        <w:tabs>
          <w:tab w:val="left" w:pos="1800" w:leader="none"/>
          <w:tab w:val="left" w:pos="5580" w:leader="none"/>
        </w:tabs>
        <w:rPr>
          <w:sz w:val="24"/>
          <w:highlight w:val="none"/>
        </w:rPr>
      </w:pPr>
      <w:r>
        <w:rPr>
          <w:sz w:val="24"/>
          <w:highlight w:val="none"/>
        </w:rPr>
      </w:r>
      <w:r/>
    </w:p>
    <w:p>
      <w:pPr>
        <w:pStyle w:val="1039"/>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项目名称：_______________________</w:t>
      </w:r>
      <w:r>
        <w:rPr>
          <w:sz w:val="24"/>
          <w:highlight w:val="none"/>
          <w:u w:val="single"/>
        </w:rPr>
      </w:r>
      <w:r/>
    </w:p>
    <w:p>
      <w:pPr>
        <w:pStyle w:val="1039"/>
        <w:jc w:val="left"/>
        <w:rPr>
          <w:sz w:val="24"/>
          <w:highlight w:val="none"/>
        </w:rPr>
      </w:pPr>
      <w:r>
        <w:rPr>
          <w:sz w:val="24"/>
          <w:highlight w:val="none"/>
        </w:rPr>
      </w:r>
      <w:r/>
    </w:p>
    <w:tbl>
      <w:tblPr>
        <w:tblW w:w="501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3728"/>
        <w:gridCol w:w="3994"/>
      </w:tblGrid>
      <w:tr>
        <w:trPr>
          <w:trHeight w:val="1185"/>
        </w:trPr>
        <w:tc>
          <w:tcPr>
            <w:tcW w:w="411" w:type="dxa"/>
            <w:vAlign w:val="center"/>
            <w:textDirection w:val="lrTb"/>
            <w:noWrap w:val="false"/>
          </w:tcPr>
          <w:p>
            <w:pPr>
              <w:pStyle w:val="1039"/>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textDirection w:val="lrTb"/>
            <w:noWrap w:val="false"/>
          </w:tcPr>
          <w:p>
            <w:pPr>
              <w:pStyle w:val="1039"/>
              <w:jc w:val="center"/>
              <w:tabs>
                <w:tab w:val="left" w:pos="5580" w:leader="none"/>
              </w:tabs>
              <w:rPr>
                <w:b/>
                <w:sz w:val="24"/>
                <w:highlight w:val="none"/>
              </w:rPr>
            </w:pPr>
            <w:r>
              <w:rPr>
                <w:rFonts w:hint="eastAsia"/>
                <w:b/>
                <w:sz w:val="24"/>
                <w:highlight w:val="none"/>
              </w:rPr>
              <w:t xml:space="preserve">供应商</w:t>
            </w:r>
            <w:r>
              <w:rPr>
                <w:b/>
                <w:sz w:val="24"/>
                <w:highlight w:val="none"/>
              </w:rPr>
              <w:t xml:space="preserve">名称</w:t>
            </w:r>
            <w:r>
              <w:rPr>
                <w:b/>
                <w:sz w:val="24"/>
                <w:highlight w:val="none"/>
              </w:rPr>
            </w:r>
            <w:r/>
          </w:p>
        </w:tc>
        <w:tc>
          <w:tcPr>
            <w:tcW w:w="2373" w:type="dxa"/>
            <w:vAlign w:val="center"/>
            <w:textDirection w:val="lrTb"/>
            <w:noWrap w:val="false"/>
          </w:tcPr>
          <w:p>
            <w:pPr>
              <w:pStyle w:val="1039"/>
              <w:jc w:val="center"/>
              <w:tabs>
                <w:tab w:val="left" w:pos="5580" w:leader="none"/>
              </w:tabs>
              <w:rPr>
                <w:rFonts w:hint="eastAsia"/>
                <w:b/>
                <w:sz w:val="24"/>
                <w:highlight w:val="none"/>
              </w:rPr>
            </w:pPr>
            <w:r>
              <w:rPr>
                <w:rFonts w:hint="eastAsia"/>
                <w:b/>
                <w:sz w:val="24"/>
                <w:highlight w:val="none"/>
              </w:rPr>
              <w:t xml:space="preserve">优惠率</w:t>
            </w:r>
            <w:r>
              <w:rPr>
                <w:rFonts w:hint="eastAsia"/>
                <w:b/>
                <w:sz w:val="24"/>
                <w:highlight w:val="none"/>
              </w:rPr>
            </w:r>
            <w:r/>
          </w:p>
        </w:tc>
      </w:tr>
      <w:tr>
        <w:trPr>
          <w:trHeight w:val="976"/>
        </w:trPr>
        <w:tc>
          <w:tcPr>
            <w:tcW w:w="411" w:type="dxa"/>
            <w:vAlign w:val="center"/>
            <w:textDirection w:val="lrTb"/>
            <w:noWrap w:val="false"/>
          </w:tcPr>
          <w:p>
            <w:pPr>
              <w:pStyle w:val="1039"/>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1039"/>
              <w:jc w:val="center"/>
              <w:tabs>
                <w:tab w:val="left" w:pos="5580" w:leader="none"/>
              </w:tabs>
              <w:rPr>
                <w:sz w:val="24"/>
                <w:highlight w:val="none"/>
              </w:rPr>
            </w:pPr>
            <w:r>
              <w:rPr>
                <w:sz w:val="24"/>
                <w:highlight w:val="none"/>
              </w:rPr>
            </w:r>
            <w:r/>
          </w:p>
        </w:tc>
        <w:tc>
          <w:tcPr>
            <w:tcW w:w="2373" w:type="dxa"/>
            <w:vAlign w:val="center"/>
            <w:textDirection w:val="lrTb"/>
            <w:noWrap w:val="false"/>
          </w:tcPr>
          <w:p>
            <w:pPr>
              <w:pStyle w:val="1039"/>
              <w:jc w:val="center"/>
              <w:tabs>
                <w:tab w:val="left" w:pos="5580" w:leader="none"/>
              </w:tabs>
              <w:rPr>
                <w:sz w:val="24"/>
                <w:highlight w:val="none"/>
              </w:rPr>
            </w:pPr>
            <w:r>
              <w:rPr>
                <w:sz w:val="24"/>
                <w:highlight w:val="none"/>
              </w:rPr>
            </w:r>
            <w:r/>
          </w:p>
        </w:tc>
      </w:tr>
    </w:tbl>
    <w:p>
      <w:pPr>
        <w:pStyle w:val="1039"/>
        <w:ind w:firstLine="480"/>
        <w:tabs>
          <w:tab w:val="left" w:pos="5580" w:leader="none"/>
        </w:tabs>
        <w:rPr>
          <w:sz w:val="24"/>
          <w:szCs w:val="20"/>
          <w:highlight w:val="none"/>
        </w:rPr>
      </w:pPr>
      <w:r>
        <w:rPr>
          <w:sz w:val="24"/>
          <w:highlight w:val="none"/>
        </w:rPr>
        <w:t xml:space="preserve">注：</w:t>
      </w:r>
      <w:r>
        <w:rPr>
          <w:rFonts w:hint="eastAsia"/>
          <w:sz w:val="24"/>
          <w:highlight w:val="none"/>
        </w:rPr>
        <w:t xml:space="preserve">1</w:t>
      </w:r>
      <w:r>
        <w:rPr>
          <w:sz w:val="24"/>
          <w:szCs w:val="20"/>
          <w:highlight w:val="none"/>
        </w:rPr>
        <w:t xml:space="preserve">.本表必须按包分别填写。</w:t>
      </w:r>
      <w:r>
        <w:rPr>
          <w:sz w:val="24"/>
          <w:szCs w:val="20"/>
          <w:highlight w:val="none"/>
        </w:rPr>
      </w:r>
      <w:r/>
    </w:p>
    <w:p>
      <w:pPr>
        <w:pStyle w:val="1039"/>
        <w:spacing w:before="25" w:after="25" w:line="360" w:lineRule="auto"/>
        <w:rPr>
          <w:sz w:val="24"/>
          <w:highlight w:val="none"/>
          <w:lang w:val="zh-CN"/>
        </w:rPr>
      </w:pPr>
      <w:r>
        <w:rPr>
          <w:sz w:val="24"/>
          <w:highlight w:val="none"/>
          <w:lang w:val="zh-CN"/>
        </w:rPr>
      </w:r>
      <w:r/>
    </w:p>
    <w:p>
      <w:pPr>
        <w:pStyle w:val="1039"/>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39"/>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39"/>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39"/>
        <w:jc w:val="left"/>
        <w:widowControl/>
        <w:rPr>
          <w:sz w:val="24"/>
          <w:szCs w:val="20"/>
          <w:highlight w:val="none"/>
        </w:rPr>
      </w:pPr>
      <w:r/>
      <w:bookmarkStart w:id="704" w:name="_Toc264969249"/>
      <w:r/>
      <w:bookmarkStart w:id="705" w:name="_Toc195842924"/>
      <w:r/>
      <w:bookmarkStart w:id="706" w:name="_Toc226337255"/>
      <w:r/>
      <w:bookmarkStart w:id="707" w:name="_Toc226965749"/>
      <w:r/>
      <w:bookmarkStart w:id="708" w:name="_Toc142311060"/>
      <w:r/>
      <w:bookmarkStart w:id="709" w:name="_Toc265228397"/>
      <w:r/>
      <w:bookmarkStart w:id="710" w:name="_Toc150774763"/>
      <w:r/>
      <w:bookmarkStart w:id="711" w:name="_Toc127151558"/>
      <w:r/>
      <w:bookmarkStart w:id="712" w:name="_Toc150480796"/>
      <w:r/>
      <w:bookmarkStart w:id="713" w:name="_Toc305158827"/>
      <w:r/>
      <w:bookmarkStart w:id="714" w:name="_Toc226965832"/>
      <w:r/>
      <w:bookmarkStart w:id="715" w:name="_Toc226309803"/>
      <w:r/>
      <w:bookmarkStart w:id="716" w:name="_Toc305158901"/>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sz w:val="24"/>
          <w:szCs w:val="20"/>
          <w:highlight w:val="none"/>
        </w:rPr>
      </w:pPr>
      <w:r>
        <w:rPr>
          <w:sz w:val="24"/>
          <w:szCs w:val="20"/>
          <w:highlight w:val="none"/>
        </w:rPr>
      </w:r>
      <w:r/>
    </w:p>
    <w:p>
      <w:pPr>
        <w:pStyle w:val="1039"/>
        <w:jc w:val="left"/>
        <w:widowControl/>
        <w:rPr>
          <w:rFonts w:hint="eastAsia"/>
          <w:b/>
          <w:i/>
          <w:sz w:val="24"/>
          <w:highlight w:val="none"/>
        </w:rPr>
      </w:pPr>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17" w:name="_Toc226965752"/>
      <w:r/>
      <w:bookmarkStart w:id="718" w:name="_Toc226309806"/>
      <w:r/>
      <w:bookmarkStart w:id="719" w:name="_Toc127151562"/>
      <w:r/>
      <w:bookmarkStart w:id="720" w:name="_Toc226337258"/>
      <w:r/>
      <w:bookmarkStart w:id="721" w:name="_Toc150774765"/>
      <w:r/>
      <w:bookmarkStart w:id="722" w:name="_Toc265228400"/>
      <w:r/>
      <w:bookmarkStart w:id="723" w:name="_Toc305158830"/>
      <w:r/>
      <w:bookmarkStart w:id="724" w:name="_Toc195842927"/>
      <w:r/>
      <w:bookmarkStart w:id="725" w:name="_Toc305158904"/>
      <w:r/>
      <w:bookmarkStart w:id="726" w:name="_Toc264969252"/>
      <w:r/>
      <w:bookmarkStart w:id="727" w:name="_Toc226965835"/>
      <w:r/>
      <w:bookmarkStart w:id="728" w:name="_Toc150480798"/>
      <w:r/>
      <w:bookmarkStart w:id="729" w:name="_Toc142311062"/>
      <w:r/>
      <w:bookmarkStart w:id="730" w:name="_Toc127151561"/>
      <w:r/>
      <w:bookmarkStart w:id="731" w:name="_Toc265228399"/>
      <w:r/>
      <w:bookmarkStart w:id="732" w:name="_Toc226337257"/>
      <w:r/>
      <w:bookmarkStart w:id="733" w:name="_Toc264969251"/>
      <w:r/>
      <w:bookmarkStart w:id="734" w:name="_Toc150480797"/>
      <w:r/>
      <w:bookmarkStart w:id="735" w:name="_Toc305158903"/>
      <w:r/>
      <w:bookmarkStart w:id="736" w:name="_Toc142311061"/>
      <w:r/>
      <w:bookmarkStart w:id="737" w:name="_Toc226309805"/>
      <w:r/>
      <w:bookmarkStart w:id="738" w:name="_Toc150774764"/>
      <w:r/>
      <w:bookmarkStart w:id="739" w:name="_Toc226965751"/>
      <w:r/>
      <w:bookmarkStart w:id="740" w:name="_Toc226965834"/>
      <w:r/>
      <w:bookmarkStart w:id="741" w:name="_Toc305158829"/>
      <w:r/>
      <w:bookmarkStart w:id="742" w:name="_Toc195842926"/>
      <w:r>
        <w:rPr>
          <w:rFonts w:hint="eastAsia"/>
          <w:b/>
          <w:i/>
          <w:sz w:val="24"/>
          <w:highlight w:val="none"/>
        </w:rPr>
      </w:r>
      <w:r/>
    </w:p>
    <w:p>
      <w:pPr>
        <w:pStyle w:val="1039"/>
        <w:spacing w:line="360" w:lineRule="auto"/>
        <w:rPr>
          <w:sz w:val="24"/>
          <w:szCs w:val="20"/>
          <w:highlight w:val="none"/>
        </w:rPr>
        <w:outlineLvl w:val="2"/>
      </w:pPr>
      <w:r>
        <w:rPr>
          <w:rFonts w:hint="eastAsia"/>
          <w:sz w:val="24"/>
          <w:szCs w:val="20"/>
          <w:highlight w:val="none"/>
        </w:rPr>
        <w:t xml:space="preserve">5</w:t>
      </w:r>
      <w:r>
        <w:rPr>
          <w:sz w:val="24"/>
          <w:szCs w:val="20"/>
          <w:highlight w:val="none"/>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sz w:val="24"/>
          <w:szCs w:val="20"/>
          <w:highlight w:val="none"/>
        </w:rPr>
        <w:t xml:space="preserve">（实质性格式）</w:t>
      </w:r>
      <w:r>
        <w:rPr>
          <w:sz w:val="24"/>
          <w:szCs w:val="20"/>
          <w:highlight w:val="none"/>
        </w:rPr>
      </w:r>
      <w:r/>
    </w:p>
    <w:p>
      <w:pPr>
        <w:pStyle w:val="1039"/>
        <w:spacing w:line="360" w:lineRule="auto"/>
        <w:rPr>
          <w:sz w:val="24"/>
          <w:szCs w:val="20"/>
          <w:highlight w:val="none"/>
        </w:rPr>
      </w:pPr>
      <w:r>
        <w:rPr>
          <w:sz w:val="24"/>
          <w:szCs w:val="20"/>
          <w:highlight w:val="none"/>
        </w:rPr>
      </w:r>
      <w:r/>
    </w:p>
    <w:p>
      <w:pPr>
        <w:pStyle w:val="1039"/>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039"/>
        <w:jc w:val="center"/>
        <w:rPr>
          <w:sz w:val="36"/>
          <w:szCs w:val="36"/>
          <w:highlight w:val="none"/>
        </w:rPr>
      </w:pPr>
      <w:r>
        <w:rPr>
          <w:sz w:val="36"/>
          <w:szCs w:val="36"/>
          <w:highlight w:val="none"/>
        </w:rPr>
      </w:r>
      <w:r/>
    </w:p>
    <w:p>
      <w:pPr>
        <w:pStyle w:val="1039"/>
        <w:spacing w:line="360" w:lineRule="auto"/>
        <w:rPr>
          <w:sz w:val="24"/>
          <w:szCs w:val="20"/>
          <w:highlight w:val="none"/>
        </w:rPr>
      </w:pPr>
      <w:r>
        <w:rPr>
          <w:sz w:val="24"/>
          <w:szCs w:val="20"/>
          <w:highlight w:val="none"/>
        </w:rPr>
      </w:r>
      <w:r/>
    </w:p>
    <w:p>
      <w:pPr>
        <w:pStyle w:val="1039"/>
        <w:ind w:firstLine="360"/>
        <w:jc w:val="left"/>
        <w:spacing w:line="360" w:lineRule="auto"/>
        <w:tabs>
          <w:tab w:val="left" w:pos="1800" w:leader="none"/>
          <w:tab w:val="left" w:pos="5580" w:leader="none"/>
        </w:tabs>
        <w:rPr>
          <w:sz w:val="24"/>
          <w:highlight w:val="none"/>
        </w:rPr>
      </w:pPr>
      <w:r>
        <w:rPr>
          <w:sz w:val="24"/>
          <w:highlight w:val="none"/>
        </w:rPr>
        <w:t xml:space="preserve">项目编号：_______________     项目名称：_____________________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223"/>
        <w:gridCol w:w="1808"/>
        <w:gridCol w:w="1809"/>
        <w:gridCol w:w="2232"/>
        <w:gridCol w:w="745"/>
      </w:tblGrid>
      <w:tr>
        <w:trPr>
          <w:trHeight w:val="930"/>
        </w:trPr>
        <w:tc>
          <w:tcPr>
            <w:gridSpan w:val="6"/>
            <w:tcW w:w="8602" w:type="dxa"/>
            <w:vAlign w:val="center"/>
            <w:textDirection w:val="lrTb"/>
            <w:noWrap w:val="false"/>
          </w:tcPr>
          <w:p>
            <w:pPr>
              <w:pStyle w:val="1039"/>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1039"/>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39"/>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1039"/>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1039"/>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1039"/>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1039"/>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1039"/>
              <w:jc w:val="center"/>
              <w:rPr>
                <w:sz w:val="24"/>
                <w:highlight w:val="none"/>
              </w:rPr>
            </w:pPr>
            <w:r>
              <w:rPr>
                <w:sz w:val="24"/>
                <w:highlight w:val="none"/>
              </w:rPr>
              <w:t xml:space="preserve">偏离情况</w:t>
            </w:r>
            <w:r>
              <w:rPr>
                <w:sz w:val="24"/>
                <w:highlight w:val="none"/>
              </w:rPr>
            </w:r>
            <w:r/>
          </w:p>
          <w:p>
            <w:pPr>
              <w:pStyle w:val="1039"/>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1039"/>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1039"/>
              <w:jc w:val="center"/>
              <w:rPr>
                <w:sz w:val="24"/>
                <w:highlight w:val="none"/>
              </w:rPr>
            </w:pPr>
            <w:r>
              <w:rPr>
                <w:sz w:val="24"/>
                <w:highlight w:val="none"/>
              </w:rPr>
            </w:r>
            <w:r/>
          </w:p>
        </w:tc>
        <w:tc>
          <w:tcPr>
            <w:tcW w:w="1301" w:type="dxa"/>
            <w:vAlign w:val="center"/>
            <w:textDirection w:val="lrTb"/>
            <w:noWrap w:val="false"/>
          </w:tcPr>
          <w:p>
            <w:pPr>
              <w:pStyle w:val="1039"/>
              <w:jc w:val="center"/>
              <w:rPr>
                <w:sz w:val="24"/>
                <w:highlight w:val="none"/>
              </w:rPr>
            </w:pPr>
            <w:r>
              <w:rPr>
                <w:sz w:val="24"/>
                <w:highlight w:val="none"/>
              </w:rPr>
            </w:r>
            <w:r/>
          </w:p>
        </w:tc>
        <w:tc>
          <w:tcPr>
            <w:tcW w:w="2007" w:type="dxa"/>
            <w:vAlign w:val="center"/>
            <w:textDirection w:val="lrTb"/>
            <w:noWrap w:val="false"/>
          </w:tcPr>
          <w:p>
            <w:pPr>
              <w:pStyle w:val="1039"/>
              <w:jc w:val="center"/>
              <w:rPr>
                <w:sz w:val="24"/>
                <w:highlight w:val="none"/>
              </w:rPr>
            </w:pPr>
            <w:r>
              <w:rPr>
                <w:sz w:val="24"/>
                <w:highlight w:val="none"/>
              </w:rPr>
            </w:r>
            <w:r/>
          </w:p>
        </w:tc>
        <w:tc>
          <w:tcPr>
            <w:tcW w:w="2008" w:type="dxa"/>
            <w:vAlign w:val="center"/>
            <w:textDirection w:val="lrTb"/>
            <w:noWrap w:val="false"/>
          </w:tcPr>
          <w:p>
            <w:pPr>
              <w:pStyle w:val="1039"/>
              <w:jc w:val="center"/>
              <w:rPr>
                <w:sz w:val="24"/>
                <w:highlight w:val="none"/>
              </w:rPr>
            </w:pPr>
            <w:r>
              <w:rPr>
                <w:sz w:val="24"/>
                <w:highlight w:val="none"/>
              </w:rPr>
            </w:r>
            <w:r/>
          </w:p>
        </w:tc>
        <w:tc>
          <w:tcPr>
            <w:tcW w:w="2458" w:type="dxa"/>
            <w:vAlign w:val="center"/>
            <w:textDirection w:val="lrTb"/>
            <w:noWrap w:val="false"/>
          </w:tcPr>
          <w:p>
            <w:pPr>
              <w:pStyle w:val="1039"/>
              <w:jc w:val="center"/>
              <w:rPr>
                <w:sz w:val="24"/>
                <w:highlight w:val="none"/>
              </w:rPr>
            </w:pPr>
            <w:r>
              <w:rPr>
                <w:sz w:val="24"/>
                <w:highlight w:val="none"/>
              </w:rPr>
            </w:r>
            <w:r/>
          </w:p>
        </w:tc>
        <w:tc>
          <w:tcPr>
            <w:tcW w:w="788" w:type="dxa"/>
            <w:vAlign w:val="center"/>
            <w:textDirection w:val="lrTb"/>
            <w:noWrap w:val="false"/>
          </w:tcPr>
          <w:p>
            <w:pPr>
              <w:pStyle w:val="1039"/>
              <w:jc w:val="center"/>
              <w:rPr>
                <w:sz w:val="24"/>
                <w:highlight w:val="none"/>
              </w:rPr>
            </w:pPr>
            <w:r>
              <w:rPr>
                <w:sz w:val="24"/>
                <w:highlight w:val="none"/>
              </w:rPr>
            </w:r>
            <w:r/>
          </w:p>
        </w:tc>
      </w:tr>
      <w:tr>
        <w:trPr>
          <w:trHeight w:val="930"/>
        </w:trPr>
        <w:tc>
          <w:tcPr>
            <w:tcW w:w="834" w:type="dxa"/>
            <w:vAlign w:val="center"/>
            <w:textDirection w:val="lrTb"/>
            <w:noWrap w:val="false"/>
          </w:tcPr>
          <w:p>
            <w:pPr>
              <w:pStyle w:val="1039"/>
              <w:jc w:val="center"/>
              <w:rPr>
                <w:sz w:val="24"/>
                <w:highlight w:val="none"/>
              </w:rPr>
            </w:pPr>
            <w:r>
              <w:rPr>
                <w:sz w:val="24"/>
                <w:highlight w:val="none"/>
              </w:rPr>
            </w:r>
            <w:r/>
          </w:p>
        </w:tc>
        <w:tc>
          <w:tcPr>
            <w:tcW w:w="1301" w:type="dxa"/>
            <w:vAlign w:val="center"/>
            <w:textDirection w:val="lrTb"/>
            <w:noWrap w:val="false"/>
          </w:tcPr>
          <w:p>
            <w:pPr>
              <w:pStyle w:val="1039"/>
              <w:jc w:val="center"/>
              <w:rPr>
                <w:sz w:val="24"/>
                <w:highlight w:val="none"/>
              </w:rPr>
            </w:pPr>
            <w:r>
              <w:rPr>
                <w:sz w:val="24"/>
                <w:highlight w:val="none"/>
              </w:rPr>
            </w:r>
            <w:r/>
          </w:p>
        </w:tc>
        <w:tc>
          <w:tcPr>
            <w:tcW w:w="2007" w:type="dxa"/>
            <w:vAlign w:val="center"/>
            <w:textDirection w:val="lrTb"/>
            <w:noWrap w:val="false"/>
          </w:tcPr>
          <w:p>
            <w:pPr>
              <w:pStyle w:val="1039"/>
              <w:jc w:val="center"/>
              <w:rPr>
                <w:sz w:val="24"/>
                <w:highlight w:val="none"/>
              </w:rPr>
            </w:pPr>
            <w:r>
              <w:rPr>
                <w:sz w:val="24"/>
                <w:highlight w:val="none"/>
              </w:rPr>
            </w:r>
            <w:r/>
          </w:p>
        </w:tc>
        <w:tc>
          <w:tcPr>
            <w:tcW w:w="2008" w:type="dxa"/>
            <w:vAlign w:val="center"/>
            <w:textDirection w:val="lrTb"/>
            <w:noWrap w:val="false"/>
          </w:tcPr>
          <w:p>
            <w:pPr>
              <w:pStyle w:val="1039"/>
              <w:jc w:val="center"/>
              <w:rPr>
                <w:sz w:val="24"/>
                <w:highlight w:val="none"/>
              </w:rPr>
            </w:pPr>
            <w:r>
              <w:rPr>
                <w:sz w:val="24"/>
                <w:highlight w:val="none"/>
              </w:rPr>
            </w:r>
            <w:r/>
          </w:p>
        </w:tc>
        <w:tc>
          <w:tcPr>
            <w:tcW w:w="2458" w:type="dxa"/>
            <w:vAlign w:val="center"/>
            <w:textDirection w:val="lrTb"/>
            <w:noWrap w:val="false"/>
          </w:tcPr>
          <w:p>
            <w:pPr>
              <w:pStyle w:val="1039"/>
              <w:jc w:val="center"/>
              <w:rPr>
                <w:sz w:val="24"/>
                <w:highlight w:val="none"/>
              </w:rPr>
            </w:pPr>
            <w:r>
              <w:rPr>
                <w:sz w:val="24"/>
                <w:highlight w:val="none"/>
              </w:rPr>
            </w:r>
            <w:r/>
          </w:p>
        </w:tc>
        <w:tc>
          <w:tcPr>
            <w:tcW w:w="788" w:type="dxa"/>
            <w:vAlign w:val="center"/>
            <w:textDirection w:val="lrTb"/>
            <w:noWrap w:val="false"/>
          </w:tcPr>
          <w:p>
            <w:pPr>
              <w:pStyle w:val="1039"/>
              <w:jc w:val="center"/>
              <w:rPr>
                <w:sz w:val="24"/>
                <w:highlight w:val="none"/>
              </w:rPr>
            </w:pPr>
            <w:r>
              <w:rPr>
                <w:sz w:val="24"/>
                <w:highlight w:val="none"/>
              </w:rPr>
            </w:r>
            <w:r/>
          </w:p>
        </w:tc>
      </w:tr>
      <w:tr>
        <w:trPr>
          <w:trHeight w:val="930"/>
        </w:trPr>
        <w:tc>
          <w:tcPr>
            <w:tcW w:w="834" w:type="dxa"/>
            <w:vAlign w:val="center"/>
            <w:textDirection w:val="lrTb"/>
            <w:noWrap w:val="false"/>
          </w:tcPr>
          <w:p>
            <w:pPr>
              <w:pStyle w:val="1039"/>
              <w:jc w:val="center"/>
              <w:rPr>
                <w:sz w:val="24"/>
                <w:highlight w:val="none"/>
              </w:rPr>
            </w:pPr>
            <w:r>
              <w:rPr>
                <w:sz w:val="24"/>
                <w:highlight w:val="none"/>
              </w:rPr>
            </w:r>
            <w:r/>
          </w:p>
        </w:tc>
        <w:tc>
          <w:tcPr>
            <w:tcW w:w="1301" w:type="dxa"/>
            <w:vAlign w:val="center"/>
            <w:textDirection w:val="lrTb"/>
            <w:noWrap w:val="false"/>
          </w:tcPr>
          <w:p>
            <w:pPr>
              <w:pStyle w:val="1039"/>
              <w:jc w:val="center"/>
              <w:rPr>
                <w:sz w:val="24"/>
                <w:highlight w:val="none"/>
              </w:rPr>
            </w:pPr>
            <w:r>
              <w:rPr>
                <w:sz w:val="24"/>
                <w:highlight w:val="none"/>
              </w:rPr>
            </w:r>
            <w:r/>
          </w:p>
        </w:tc>
        <w:tc>
          <w:tcPr>
            <w:tcW w:w="2007" w:type="dxa"/>
            <w:vAlign w:val="center"/>
            <w:textDirection w:val="lrTb"/>
            <w:noWrap w:val="false"/>
          </w:tcPr>
          <w:p>
            <w:pPr>
              <w:pStyle w:val="1039"/>
              <w:jc w:val="center"/>
              <w:rPr>
                <w:sz w:val="24"/>
                <w:highlight w:val="none"/>
              </w:rPr>
            </w:pPr>
            <w:r>
              <w:rPr>
                <w:sz w:val="24"/>
                <w:highlight w:val="none"/>
              </w:rPr>
            </w:r>
            <w:r/>
          </w:p>
        </w:tc>
        <w:tc>
          <w:tcPr>
            <w:tcW w:w="2008" w:type="dxa"/>
            <w:vAlign w:val="center"/>
            <w:textDirection w:val="lrTb"/>
            <w:noWrap w:val="false"/>
          </w:tcPr>
          <w:p>
            <w:pPr>
              <w:pStyle w:val="1039"/>
              <w:jc w:val="center"/>
              <w:rPr>
                <w:sz w:val="24"/>
                <w:highlight w:val="none"/>
              </w:rPr>
            </w:pPr>
            <w:r>
              <w:rPr>
                <w:sz w:val="24"/>
                <w:highlight w:val="none"/>
              </w:rPr>
            </w:r>
            <w:r/>
          </w:p>
        </w:tc>
        <w:tc>
          <w:tcPr>
            <w:tcW w:w="2458" w:type="dxa"/>
            <w:vAlign w:val="center"/>
            <w:textDirection w:val="lrTb"/>
            <w:noWrap w:val="false"/>
          </w:tcPr>
          <w:p>
            <w:pPr>
              <w:pStyle w:val="1039"/>
              <w:jc w:val="center"/>
              <w:rPr>
                <w:sz w:val="24"/>
                <w:highlight w:val="none"/>
              </w:rPr>
            </w:pPr>
            <w:r>
              <w:rPr>
                <w:sz w:val="24"/>
                <w:highlight w:val="none"/>
              </w:rPr>
            </w:r>
            <w:r/>
          </w:p>
        </w:tc>
        <w:tc>
          <w:tcPr>
            <w:tcW w:w="788" w:type="dxa"/>
            <w:vAlign w:val="center"/>
            <w:textDirection w:val="lrTb"/>
            <w:noWrap w:val="false"/>
          </w:tcPr>
          <w:p>
            <w:pPr>
              <w:pStyle w:val="1039"/>
              <w:jc w:val="center"/>
              <w:rPr>
                <w:sz w:val="24"/>
                <w:highlight w:val="none"/>
              </w:rPr>
            </w:pPr>
            <w:r>
              <w:rPr>
                <w:sz w:val="24"/>
                <w:highlight w:val="none"/>
              </w:rPr>
            </w:r>
            <w:r/>
          </w:p>
        </w:tc>
      </w:tr>
      <w:tr>
        <w:trPr>
          <w:trHeight w:val="930"/>
        </w:trPr>
        <w:tc>
          <w:tcPr>
            <w:tcW w:w="834" w:type="dxa"/>
            <w:vAlign w:val="center"/>
            <w:textDirection w:val="lrTb"/>
            <w:noWrap w:val="false"/>
          </w:tcPr>
          <w:p>
            <w:pPr>
              <w:pStyle w:val="1039"/>
              <w:jc w:val="center"/>
              <w:rPr>
                <w:sz w:val="24"/>
                <w:highlight w:val="none"/>
              </w:rPr>
            </w:pPr>
            <w:r>
              <w:rPr>
                <w:sz w:val="24"/>
                <w:highlight w:val="none"/>
              </w:rPr>
            </w:r>
            <w:r/>
          </w:p>
        </w:tc>
        <w:tc>
          <w:tcPr>
            <w:tcW w:w="1301" w:type="dxa"/>
            <w:vAlign w:val="center"/>
            <w:textDirection w:val="lrTb"/>
            <w:noWrap w:val="false"/>
          </w:tcPr>
          <w:p>
            <w:pPr>
              <w:pStyle w:val="1039"/>
              <w:jc w:val="center"/>
              <w:rPr>
                <w:sz w:val="24"/>
                <w:highlight w:val="none"/>
              </w:rPr>
            </w:pPr>
            <w:r>
              <w:rPr>
                <w:sz w:val="24"/>
                <w:highlight w:val="none"/>
              </w:rPr>
            </w:r>
            <w:r/>
          </w:p>
        </w:tc>
        <w:tc>
          <w:tcPr>
            <w:tcW w:w="2007" w:type="dxa"/>
            <w:vAlign w:val="center"/>
            <w:textDirection w:val="lrTb"/>
            <w:noWrap w:val="false"/>
          </w:tcPr>
          <w:p>
            <w:pPr>
              <w:pStyle w:val="1039"/>
              <w:jc w:val="center"/>
              <w:rPr>
                <w:sz w:val="24"/>
                <w:highlight w:val="none"/>
              </w:rPr>
            </w:pPr>
            <w:r>
              <w:rPr>
                <w:sz w:val="24"/>
                <w:highlight w:val="none"/>
              </w:rPr>
            </w:r>
            <w:r/>
          </w:p>
        </w:tc>
        <w:tc>
          <w:tcPr>
            <w:tcW w:w="2008" w:type="dxa"/>
            <w:vAlign w:val="center"/>
            <w:textDirection w:val="lrTb"/>
            <w:noWrap w:val="false"/>
          </w:tcPr>
          <w:p>
            <w:pPr>
              <w:pStyle w:val="1039"/>
              <w:jc w:val="center"/>
              <w:rPr>
                <w:sz w:val="24"/>
                <w:highlight w:val="none"/>
              </w:rPr>
            </w:pPr>
            <w:r>
              <w:rPr>
                <w:sz w:val="24"/>
                <w:highlight w:val="none"/>
              </w:rPr>
            </w:r>
            <w:r/>
          </w:p>
        </w:tc>
        <w:tc>
          <w:tcPr>
            <w:tcW w:w="2458" w:type="dxa"/>
            <w:vAlign w:val="center"/>
            <w:textDirection w:val="lrTb"/>
            <w:noWrap w:val="false"/>
          </w:tcPr>
          <w:p>
            <w:pPr>
              <w:pStyle w:val="1039"/>
              <w:jc w:val="center"/>
              <w:rPr>
                <w:sz w:val="24"/>
                <w:highlight w:val="none"/>
              </w:rPr>
            </w:pPr>
            <w:r>
              <w:rPr>
                <w:sz w:val="24"/>
                <w:highlight w:val="none"/>
              </w:rPr>
            </w:r>
            <w:r/>
          </w:p>
        </w:tc>
        <w:tc>
          <w:tcPr>
            <w:tcW w:w="788" w:type="dxa"/>
            <w:vAlign w:val="center"/>
            <w:textDirection w:val="lrTb"/>
            <w:noWrap w:val="false"/>
          </w:tcPr>
          <w:p>
            <w:pPr>
              <w:pStyle w:val="1039"/>
              <w:jc w:val="center"/>
              <w:rPr>
                <w:sz w:val="24"/>
                <w:highlight w:val="none"/>
              </w:rPr>
            </w:pPr>
            <w:r>
              <w:rPr>
                <w:sz w:val="24"/>
                <w:highlight w:val="none"/>
              </w:rPr>
            </w:r>
            <w:r/>
          </w:p>
        </w:tc>
      </w:tr>
    </w:tbl>
    <w:p>
      <w:pPr>
        <w:pStyle w:val="1039"/>
        <w:jc w:val="left"/>
        <w:tabs>
          <w:tab w:val="left" w:pos="1800" w:leader="none"/>
          <w:tab w:val="left" w:pos="5580" w:leader="none"/>
        </w:tabs>
        <w:rPr>
          <w:sz w:val="24"/>
          <w:highlight w:val="none"/>
        </w:rPr>
      </w:pPr>
      <w:r>
        <w:rPr>
          <w:sz w:val="24"/>
          <w:highlight w:val="none"/>
        </w:rPr>
      </w:r>
      <w:r/>
    </w:p>
    <w:p>
      <w:pPr>
        <w:pStyle w:val="1039"/>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1039"/>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039"/>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1039"/>
        <w:spacing w:line="360" w:lineRule="auto"/>
        <w:rPr>
          <w:sz w:val="24"/>
          <w:szCs w:val="20"/>
          <w:highlight w:val="none"/>
        </w:rPr>
      </w:pPr>
      <w:r>
        <w:rPr>
          <w:sz w:val="24"/>
          <w:szCs w:val="20"/>
          <w:highlight w:val="none"/>
        </w:rPr>
      </w:r>
      <w:r/>
    </w:p>
    <w:p>
      <w:pPr>
        <w:pStyle w:val="1039"/>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39"/>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39"/>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39"/>
        <w:spacing w:line="360" w:lineRule="auto"/>
        <w:rPr>
          <w:rFonts w:hint="eastAsia"/>
          <w:sz w:val="24"/>
          <w:szCs w:val="20"/>
          <w:highlight w:val="none"/>
        </w:rPr>
        <w:outlineLvl w:val="2"/>
      </w:pPr>
      <w:r>
        <w:rPr>
          <w:sz w:val="24"/>
          <w:szCs w:val="20"/>
          <w:highlight w:val="none"/>
        </w:rPr>
        <w:br w:type="page" w:clear="all"/>
      </w:r>
      <w:r>
        <w:rPr>
          <w:rFonts w:hint="eastAsia"/>
          <w:sz w:val="24"/>
          <w:szCs w:val="20"/>
          <w:highlight w:val="none"/>
        </w:rPr>
      </w:r>
      <w:r/>
    </w:p>
    <w:p>
      <w:pPr>
        <w:pStyle w:val="1039"/>
        <w:spacing w:line="360" w:lineRule="auto"/>
        <w:rPr>
          <w:sz w:val="24"/>
          <w:szCs w:val="20"/>
          <w:highlight w:val="none"/>
        </w:rPr>
        <w:outlineLvl w:val="2"/>
      </w:pPr>
      <w:r>
        <w:rPr>
          <w:rFonts w:hint="eastAsia"/>
          <w:sz w:val="24"/>
          <w:szCs w:val="20"/>
          <w:highlight w:val="none"/>
        </w:rPr>
        <w:t xml:space="preserve">6</w:t>
      </w:r>
      <w:r>
        <w:rPr>
          <w:sz w:val="24"/>
          <w:szCs w:val="20"/>
          <w:highlight w:val="none"/>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sz w:val="24"/>
          <w:szCs w:val="20"/>
          <w:highlight w:val="none"/>
        </w:rPr>
        <w:t xml:space="preserve">采购需求偏离表（实质性格式）</w:t>
      </w:r>
      <w:r>
        <w:rPr>
          <w:sz w:val="24"/>
          <w:szCs w:val="20"/>
          <w:highlight w:val="none"/>
        </w:rPr>
      </w:r>
      <w:r/>
    </w:p>
    <w:p>
      <w:pPr>
        <w:pStyle w:val="1039"/>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039"/>
        <w:jc w:val="center"/>
        <w:rPr>
          <w:sz w:val="36"/>
          <w:szCs w:val="36"/>
          <w:highlight w:val="none"/>
        </w:rPr>
      </w:pPr>
      <w:r>
        <w:rPr>
          <w:sz w:val="36"/>
          <w:szCs w:val="36"/>
          <w:highlight w:val="none"/>
        </w:rPr>
      </w:r>
      <w:r/>
    </w:p>
    <w:p>
      <w:pPr>
        <w:pStyle w:val="1039"/>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39"/>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1039"/>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39"/>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775" w:type="dxa"/>
            <w:vAlign w:val="center"/>
            <w:textDirection w:val="lrTb"/>
            <w:noWrap w:val="false"/>
          </w:tcPr>
          <w:p>
            <w:pPr>
              <w:pStyle w:val="1039"/>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039"/>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1039"/>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1039"/>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1039"/>
              <w:jc w:val="center"/>
              <w:rPr>
                <w:sz w:val="24"/>
                <w:highlight w:val="none"/>
              </w:rPr>
            </w:pPr>
            <w:r>
              <w:rPr>
                <w:sz w:val="24"/>
                <w:highlight w:val="none"/>
              </w:rPr>
              <w:t xml:space="preserve">偏离情况</w:t>
            </w:r>
            <w:r>
              <w:rPr>
                <w:sz w:val="24"/>
                <w:highlight w:val="none"/>
              </w:rPr>
            </w:r>
            <w:r/>
          </w:p>
          <w:p>
            <w:pPr>
              <w:pStyle w:val="1039"/>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1039"/>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039"/>
              <w:jc w:val="center"/>
              <w:rPr>
                <w:sz w:val="24"/>
                <w:highlight w:val="none"/>
              </w:rPr>
            </w:pPr>
            <w:r>
              <w:rPr>
                <w:sz w:val="24"/>
                <w:highlight w:val="none"/>
              </w:rPr>
            </w:r>
            <w:r/>
          </w:p>
        </w:tc>
        <w:tc>
          <w:tcPr>
            <w:tcW w:w="1482" w:type="dxa"/>
            <w:vAlign w:val="center"/>
            <w:textDirection w:val="lrTb"/>
            <w:noWrap w:val="false"/>
          </w:tcPr>
          <w:p>
            <w:pPr>
              <w:pStyle w:val="1039"/>
              <w:jc w:val="center"/>
              <w:rPr>
                <w:sz w:val="24"/>
                <w:highlight w:val="none"/>
              </w:rPr>
            </w:pPr>
            <w:r>
              <w:rPr>
                <w:sz w:val="24"/>
                <w:highlight w:val="none"/>
              </w:rPr>
            </w:r>
            <w:r/>
          </w:p>
        </w:tc>
        <w:tc>
          <w:tcPr>
            <w:tcW w:w="2384" w:type="dxa"/>
            <w:vAlign w:val="center"/>
            <w:textDirection w:val="lrTb"/>
            <w:noWrap w:val="false"/>
          </w:tcPr>
          <w:p>
            <w:pPr>
              <w:pStyle w:val="1039"/>
              <w:jc w:val="center"/>
              <w:rPr>
                <w:sz w:val="24"/>
                <w:highlight w:val="none"/>
              </w:rPr>
            </w:pPr>
            <w:r>
              <w:rPr>
                <w:sz w:val="24"/>
                <w:highlight w:val="none"/>
              </w:rPr>
            </w:r>
            <w:r/>
          </w:p>
        </w:tc>
        <w:tc>
          <w:tcPr>
            <w:tcW w:w="2126" w:type="dxa"/>
            <w:vAlign w:val="center"/>
            <w:textDirection w:val="lrTb"/>
            <w:noWrap w:val="false"/>
          </w:tcPr>
          <w:p>
            <w:pPr>
              <w:pStyle w:val="1039"/>
              <w:jc w:val="center"/>
              <w:rPr>
                <w:sz w:val="24"/>
                <w:highlight w:val="none"/>
              </w:rPr>
            </w:pPr>
            <w:r>
              <w:rPr>
                <w:sz w:val="24"/>
                <w:highlight w:val="none"/>
              </w:rPr>
            </w:r>
            <w:r/>
          </w:p>
        </w:tc>
        <w:tc>
          <w:tcPr>
            <w:tcW w:w="1875" w:type="dxa"/>
            <w:vAlign w:val="center"/>
            <w:textDirection w:val="lrTb"/>
            <w:noWrap w:val="false"/>
          </w:tcPr>
          <w:p>
            <w:pPr>
              <w:pStyle w:val="1039"/>
              <w:jc w:val="center"/>
              <w:rPr>
                <w:sz w:val="24"/>
                <w:highlight w:val="none"/>
              </w:rPr>
            </w:pPr>
            <w:r>
              <w:rPr>
                <w:sz w:val="24"/>
                <w:highlight w:val="none"/>
              </w:rPr>
            </w:r>
            <w:r/>
          </w:p>
        </w:tc>
        <w:tc>
          <w:tcPr>
            <w:tcW w:w="1009" w:type="dxa"/>
            <w:vAlign w:val="center"/>
            <w:textDirection w:val="lrTb"/>
            <w:noWrap w:val="false"/>
          </w:tcPr>
          <w:p>
            <w:pPr>
              <w:pStyle w:val="1039"/>
              <w:jc w:val="center"/>
              <w:rPr>
                <w:sz w:val="24"/>
                <w:highlight w:val="none"/>
              </w:rPr>
            </w:pPr>
            <w:r>
              <w:rPr>
                <w:sz w:val="24"/>
                <w:highlight w:val="none"/>
              </w:rPr>
            </w:r>
            <w:r/>
          </w:p>
        </w:tc>
      </w:tr>
      <w:tr>
        <w:trPr>
          <w:trHeight w:val="930"/>
        </w:trPr>
        <w:tc>
          <w:tcPr>
            <w:tcW w:w="775" w:type="dxa"/>
            <w:vAlign w:val="center"/>
            <w:textDirection w:val="lrTb"/>
            <w:noWrap w:val="false"/>
          </w:tcPr>
          <w:p>
            <w:pPr>
              <w:pStyle w:val="1039"/>
              <w:jc w:val="center"/>
              <w:rPr>
                <w:sz w:val="24"/>
                <w:highlight w:val="none"/>
              </w:rPr>
            </w:pPr>
            <w:r>
              <w:rPr>
                <w:sz w:val="24"/>
                <w:highlight w:val="none"/>
              </w:rPr>
            </w:r>
            <w:r/>
          </w:p>
        </w:tc>
        <w:tc>
          <w:tcPr>
            <w:tcW w:w="1482" w:type="dxa"/>
            <w:vAlign w:val="center"/>
            <w:textDirection w:val="lrTb"/>
            <w:noWrap w:val="false"/>
          </w:tcPr>
          <w:p>
            <w:pPr>
              <w:pStyle w:val="1039"/>
              <w:jc w:val="center"/>
              <w:rPr>
                <w:sz w:val="24"/>
                <w:highlight w:val="none"/>
              </w:rPr>
            </w:pPr>
            <w:r>
              <w:rPr>
                <w:sz w:val="24"/>
                <w:highlight w:val="none"/>
              </w:rPr>
            </w:r>
            <w:r/>
          </w:p>
        </w:tc>
        <w:tc>
          <w:tcPr>
            <w:tcW w:w="2384" w:type="dxa"/>
            <w:vAlign w:val="center"/>
            <w:textDirection w:val="lrTb"/>
            <w:noWrap w:val="false"/>
          </w:tcPr>
          <w:p>
            <w:pPr>
              <w:pStyle w:val="1039"/>
              <w:jc w:val="center"/>
              <w:rPr>
                <w:sz w:val="24"/>
                <w:highlight w:val="none"/>
              </w:rPr>
            </w:pPr>
            <w:r>
              <w:rPr>
                <w:sz w:val="24"/>
                <w:highlight w:val="none"/>
              </w:rPr>
            </w:r>
            <w:r/>
          </w:p>
        </w:tc>
        <w:tc>
          <w:tcPr>
            <w:tcW w:w="2126" w:type="dxa"/>
            <w:vAlign w:val="center"/>
            <w:textDirection w:val="lrTb"/>
            <w:noWrap w:val="false"/>
          </w:tcPr>
          <w:p>
            <w:pPr>
              <w:pStyle w:val="1039"/>
              <w:jc w:val="center"/>
              <w:rPr>
                <w:sz w:val="24"/>
                <w:highlight w:val="none"/>
              </w:rPr>
            </w:pPr>
            <w:r>
              <w:rPr>
                <w:sz w:val="24"/>
                <w:highlight w:val="none"/>
              </w:rPr>
            </w:r>
            <w:r/>
          </w:p>
        </w:tc>
        <w:tc>
          <w:tcPr>
            <w:tcW w:w="1875" w:type="dxa"/>
            <w:vAlign w:val="center"/>
            <w:textDirection w:val="lrTb"/>
            <w:noWrap w:val="false"/>
          </w:tcPr>
          <w:p>
            <w:pPr>
              <w:pStyle w:val="1039"/>
              <w:jc w:val="center"/>
              <w:rPr>
                <w:sz w:val="24"/>
                <w:highlight w:val="none"/>
              </w:rPr>
            </w:pPr>
            <w:r>
              <w:rPr>
                <w:sz w:val="24"/>
                <w:highlight w:val="none"/>
              </w:rPr>
            </w:r>
            <w:r/>
          </w:p>
        </w:tc>
        <w:tc>
          <w:tcPr>
            <w:tcW w:w="1009" w:type="dxa"/>
            <w:vAlign w:val="center"/>
            <w:textDirection w:val="lrTb"/>
            <w:noWrap w:val="false"/>
          </w:tcPr>
          <w:p>
            <w:pPr>
              <w:pStyle w:val="1039"/>
              <w:jc w:val="center"/>
              <w:rPr>
                <w:sz w:val="24"/>
                <w:highlight w:val="none"/>
              </w:rPr>
            </w:pPr>
            <w:r>
              <w:rPr>
                <w:sz w:val="24"/>
                <w:highlight w:val="none"/>
              </w:rPr>
            </w:r>
            <w:r/>
          </w:p>
        </w:tc>
      </w:tr>
      <w:tr>
        <w:trPr>
          <w:trHeight w:val="930"/>
        </w:trPr>
        <w:tc>
          <w:tcPr>
            <w:tcW w:w="775" w:type="dxa"/>
            <w:vAlign w:val="center"/>
            <w:textDirection w:val="lrTb"/>
            <w:noWrap w:val="false"/>
          </w:tcPr>
          <w:p>
            <w:pPr>
              <w:pStyle w:val="1039"/>
              <w:jc w:val="center"/>
              <w:rPr>
                <w:sz w:val="24"/>
                <w:highlight w:val="none"/>
              </w:rPr>
            </w:pPr>
            <w:r>
              <w:rPr>
                <w:sz w:val="24"/>
                <w:highlight w:val="none"/>
              </w:rPr>
            </w:r>
            <w:r/>
          </w:p>
        </w:tc>
        <w:tc>
          <w:tcPr>
            <w:tcW w:w="1482" w:type="dxa"/>
            <w:vAlign w:val="center"/>
            <w:textDirection w:val="lrTb"/>
            <w:noWrap w:val="false"/>
          </w:tcPr>
          <w:p>
            <w:pPr>
              <w:pStyle w:val="1039"/>
              <w:jc w:val="center"/>
              <w:rPr>
                <w:sz w:val="24"/>
                <w:highlight w:val="none"/>
              </w:rPr>
            </w:pPr>
            <w:r>
              <w:rPr>
                <w:sz w:val="24"/>
                <w:highlight w:val="none"/>
              </w:rPr>
            </w:r>
            <w:r/>
          </w:p>
        </w:tc>
        <w:tc>
          <w:tcPr>
            <w:tcW w:w="2384" w:type="dxa"/>
            <w:vAlign w:val="center"/>
            <w:textDirection w:val="lrTb"/>
            <w:noWrap w:val="false"/>
          </w:tcPr>
          <w:p>
            <w:pPr>
              <w:pStyle w:val="1039"/>
              <w:jc w:val="center"/>
              <w:rPr>
                <w:sz w:val="24"/>
                <w:highlight w:val="none"/>
              </w:rPr>
            </w:pPr>
            <w:r>
              <w:rPr>
                <w:sz w:val="24"/>
                <w:highlight w:val="none"/>
              </w:rPr>
            </w:r>
            <w:r/>
          </w:p>
        </w:tc>
        <w:tc>
          <w:tcPr>
            <w:tcW w:w="2126" w:type="dxa"/>
            <w:vAlign w:val="center"/>
            <w:textDirection w:val="lrTb"/>
            <w:noWrap w:val="false"/>
          </w:tcPr>
          <w:p>
            <w:pPr>
              <w:pStyle w:val="1039"/>
              <w:jc w:val="center"/>
              <w:rPr>
                <w:sz w:val="24"/>
                <w:highlight w:val="none"/>
              </w:rPr>
            </w:pPr>
            <w:r>
              <w:rPr>
                <w:sz w:val="24"/>
                <w:highlight w:val="none"/>
              </w:rPr>
            </w:r>
            <w:r/>
          </w:p>
        </w:tc>
        <w:tc>
          <w:tcPr>
            <w:tcW w:w="1875" w:type="dxa"/>
            <w:vAlign w:val="center"/>
            <w:textDirection w:val="lrTb"/>
            <w:noWrap w:val="false"/>
          </w:tcPr>
          <w:p>
            <w:pPr>
              <w:pStyle w:val="1039"/>
              <w:jc w:val="center"/>
              <w:rPr>
                <w:sz w:val="24"/>
                <w:highlight w:val="none"/>
              </w:rPr>
            </w:pPr>
            <w:r>
              <w:rPr>
                <w:sz w:val="24"/>
                <w:highlight w:val="none"/>
              </w:rPr>
            </w:r>
            <w:r/>
          </w:p>
        </w:tc>
        <w:tc>
          <w:tcPr>
            <w:tcW w:w="1009" w:type="dxa"/>
            <w:vAlign w:val="center"/>
            <w:textDirection w:val="lrTb"/>
            <w:noWrap w:val="false"/>
          </w:tcPr>
          <w:p>
            <w:pPr>
              <w:pStyle w:val="1039"/>
              <w:jc w:val="center"/>
              <w:rPr>
                <w:sz w:val="24"/>
                <w:highlight w:val="none"/>
              </w:rPr>
            </w:pPr>
            <w:r>
              <w:rPr>
                <w:sz w:val="24"/>
                <w:highlight w:val="none"/>
              </w:rPr>
            </w:r>
            <w:r/>
          </w:p>
        </w:tc>
      </w:tr>
      <w:tr>
        <w:trPr>
          <w:trHeight w:val="930"/>
        </w:trPr>
        <w:tc>
          <w:tcPr>
            <w:tcW w:w="775" w:type="dxa"/>
            <w:vAlign w:val="center"/>
            <w:textDirection w:val="lrTb"/>
            <w:noWrap w:val="false"/>
          </w:tcPr>
          <w:p>
            <w:pPr>
              <w:pStyle w:val="1039"/>
              <w:jc w:val="center"/>
              <w:rPr>
                <w:sz w:val="24"/>
                <w:highlight w:val="none"/>
              </w:rPr>
            </w:pPr>
            <w:r>
              <w:rPr>
                <w:sz w:val="24"/>
                <w:highlight w:val="none"/>
              </w:rPr>
            </w:r>
            <w:r/>
          </w:p>
        </w:tc>
        <w:tc>
          <w:tcPr>
            <w:tcW w:w="1482" w:type="dxa"/>
            <w:vAlign w:val="center"/>
            <w:textDirection w:val="lrTb"/>
            <w:noWrap w:val="false"/>
          </w:tcPr>
          <w:p>
            <w:pPr>
              <w:pStyle w:val="1039"/>
              <w:jc w:val="center"/>
              <w:rPr>
                <w:sz w:val="24"/>
                <w:highlight w:val="none"/>
              </w:rPr>
            </w:pPr>
            <w:r>
              <w:rPr>
                <w:sz w:val="24"/>
                <w:highlight w:val="none"/>
              </w:rPr>
            </w:r>
            <w:r/>
          </w:p>
        </w:tc>
        <w:tc>
          <w:tcPr>
            <w:tcW w:w="2384" w:type="dxa"/>
            <w:vAlign w:val="center"/>
            <w:textDirection w:val="lrTb"/>
            <w:noWrap w:val="false"/>
          </w:tcPr>
          <w:p>
            <w:pPr>
              <w:pStyle w:val="1039"/>
              <w:jc w:val="center"/>
              <w:rPr>
                <w:sz w:val="24"/>
                <w:highlight w:val="none"/>
              </w:rPr>
            </w:pPr>
            <w:r>
              <w:rPr>
                <w:sz w:val="24"/>
                <w:highlight w:val="none"/>
              </w:rPr>
            </w:r>
            <w:r/>
          </w:p>
        </w:tc>
        <w:tc>
          <w:tcPr>
            <w:tcW w:w="2126" w:type="dxa"/>
            <w:vAlign w:val="center"/>
            <w:textDirection w:val="lrTb"/>
            <w:noWrap w:val="false"/>
          </w:tcPr>
          <w:p>
            <w:pPr>
              <w:pStyle w:val="1039"/>
              <w:jc w:val="center"/>
              <w:rPr>
                <w:sz w:val="24"/>
                <w:highlight w:val="none"/>
              </w:rPr>
            </w:pPr>
            <w:r>
              <w:rPr>
                <w:sz w:val="24"/>
                <w:highlight w:val="none"/>
              </w:rPr>
            </w:r>
            <w:r/>
          </w:p>
        </w:tc>
        <w:tc>
          <w:tcPr>
            <w:tcW w:w="1875" w:type="dxa"/>
            <w:vAlign w:val="center"/>
            <w:textDirection w:val="lrTb"/>
            <w:noWrap w:val="false"/>
          </w:tcPr>
          <w:p>
            <w:pPr>
              <w:pStyle w:val="1039"/>
              <w:jc w:val="center"/>
              <w:rPr>
                <w:sz w:val="24"/>
                <w:highlight w:val="none"/>
              </w:rPr>
            </w:pPr>
            <w:r>
              <w:rPr>
                <w:sz w:val="24"/>
                <w:highlight w:val="none"/>
              </w:rPr>
            </w:r>
            <w:r/>
          </w:p>
        </w:tc>
        <w:tc>
          <w:tcPr>
            <w:tcW w:w="1009" w:type="dxa"/>
            <w:vAlign w:val="center"/>
            <w:textDirection w:val="lrTb"/>
            <w:noWrap w:val="false"/>
          </w:tcPr>
          <w:p>
            <w:pPr>
              <w:pStyle w:val="1039"/>
              <w:jc w:val="center"/>
              <w:rPr>
                <w:sz w:val="24"/>
                <w:highlight w:val="none"/>
              </w:rPr>
            </w:pPr>
            <w:r>
              <w:rPr>
                <w:sz w:val="24"/>
                <w:highlight w:val="none"/>
              </w:rPr>
            </w:r>
            <w:r/>
          </w:p>
        </w:tc>
      </w:tr>
      <w:tr>
        <w:trPr>
          <w:trHeight w:val="930"/>
        </w:trPr>
        <w:tc>
          <w:tcPr>
            <w:tcW w:w="775" w:type="dxa"/>
            <w:vAlign w:val="center"/>
            <w:textDirection w:val="lrTb"/>
            <w:noWrap w:val="false"/>
          </w:tcPr>
          <w:p>
            <w:pPr>
              <w:pStyle w:val="1039"/>
              <w:jc w:val="center"/>
              <w:rPr>
                <w:sz w:val="24"/>
                <w:highlight w:val="none"/>
              </w:rPr>
            </w:pPr>
            <w:r>
              <w:rPr>
                <w:sz w:val="24"/>
                <w:highlight w:val="none"/>
              </w:rPr>
            </w:r>
            <w:r/>
          </w:p>
        </w:tc>
        <w:tc>
          <w:tcPr>
            <w:tcW w:w="1482" w:type="dxa"/>
            <w:vAlign w:val="center"/>
            <w:textDirection w:val="lrTb"/>
            <w:noWrap w:val="false"/>
          </w:tcPr>
          <w:p>
            <w:pPr>
              <w:pStyle w:val="1039"/>
              <w:jc w:val="center"/>
              <w:rPr>
                <w:sz w:val="24"/>
                <w:highlight w:val="none"/>
              </w:rPr>
            </w:pPr>
            <w:r>
              <w:rPr>
                <w:sz w:val="24"/>
                <w:highlight w:val="none"/>
              </w:rPr>
            </w:r>
            <w:r/>
          </w:p>
        </w:tc>
        <w:tc>
          <w:tcPr>
            <w:tcW w:w="2384" w:type="dxa"/>
            <w:vAlign w:val="center"/>
            <w:textDirection w:val="lrTb"/>
            <w:noWrap w:val="false"/>
          </w:tcPr>
          <w:p>
            <w:pPr>
              <w:pStyle w:val="1039"/>
              <w:jc w:val="center"/>
              <w:rPr>
                <w:sz w:val="24"/>
                <w:highlight w:val="none"/>
              </w:rPr>
            </w:pPr>
            <w:r>
              <w:rPr>
                <w:sz w:val="24"/>
                <w:highlight w:val="none"/>
              </w:rPr>
            </w:r>
            <w:r/>
          </w:p>
        </w:tc>
        <w:tc>
          <w:tcPr>
            <w:tcW w:w="2126" w:type="dxa"/>
            <w:vAlign w:val="center"/>
            <w:textDirection w:val="lrTb"/>
            <w:noWrap w:val="false"/>
          </w:tcPr>
          <w:p>
            <w:pPr>
              <w:pStyle w:val="1039"/>
              <w:jc w:val="center"/>
              <w:rPr>
                <w:sz w:val="24"/>
                <w:highlight w:val="none"/>
              </w:rPr>
            </w:pPr>
            <w:r>
              <w:rPr>
                <w:sz w:val="24"/>
                <w:highlight w:val="none"/>
              </w:rPr>
            </w:r>
            <w:r/>
          </w:p>
        </w:tc>
        <w:tc>
          <w:tcPr>
            <w:tcW w:w="1875" w:type="dxa"/>
            <w:vAlign w:val="center"/>
            <w:textDirection w:val="lrTb"/>
            <w:noWrap w:val="false"/>
          </w:tcPr>
          <w:p>
            <w:pPr>
              <w:pStyle w:val="1039"/>
              <w:jc w:val="center"/>
              <w:rPr>
                <w:sz w:val="24"/>
                <w:highlight w:val="none"/>
              </w:rPr>
            </w:pPr>
            <w:r>
              <w:rPr>
                <w:sz w:val="24"/>
                <w:highlight w:val="none"/>
              </w:rPr>
            </w:r>
            <w:r/>
          </w:p>
        </w:tc>
        <w:tc>
          <w:tcPr>
            <w:tcW w:w="1009" w:type="dxa"/>
            <w:vAlign w:val="center"/>
            <w:textDirection w:val="lrTb"/>
            <w:noWrap w:val="false"/>
          </w:tcPr>
          <w:p>
            <w:pPr>
              <w:pStyle w:val="1039"/>
              <w:jc w:val="center"/>
              <w:rPr>
                <w:sz w:val="24"/>
                <w:highlight w:val="none"/>
              </w:rPr>
            </w:pPr>
            <w:r>
              <w:rPr>
                <w:sz w:val="24"/>
                <w:highlight w:val="none"/>
              </w:rPr>
            </w:r>
            <w:r/>
          </w:p>
        </w:tc>
      </w:tr>
    </w:tbl>
    <w:p>
      <w:pPr>
        <w:pStyle w:val="1039"/>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1039"/>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1039"/>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39"/>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1039"/>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1039"/>
        <w:jc w:val="left"/>
        <w:tabs>
          <w:tab w:val="left" w:pos="1800" w:leader="none"/>
          <w:tab w:val="left" w:pos="5580" w:leader="none"/>
        </w:tabs>
        <w:rPr>
          <w:sz w:val="24"/>
          <w:highlight w:val="none"/>
        </w:rPr>
      </w:pPr>
      <w:r>
        <w:rPr>
          <w:sz w:val="24"/>
          <w:highlight w:val="none"/>
        </w:rPr>
      </w:r>
      <w:r/>
    </w:p>
    <w:p>
      <w:pPr>
        <w:pStyle w:val="1039"/>
        <w:rPr>
          <w:sz w:val="24"/>
          <w:szCs w:val="20"/>
          <w:highlight w:val="none"/>
        </w:rPr>
      </w:pPr>
      <w:r>
        <w:rPr>
          <w:sz w:val="24"/>
          <w:szCs w:val="20"/>
          <w:highlight w:val="none"/>
        </w:rPr>
      </w:r>
      <w:r/>
    </w:p>
    <w:p>
      <w:pPr>
        <w:pStyle w:val="1039"/>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39"/>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39"/>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39"/>
        <w:rPr>
          <w:sz w:val="24"/>
          <w:szCs w:val="20"/>
          <w:highlight w:val="none"/>
        </w:rPr>
      </w:pPr>
      <w:r>
        <w:rPr>
          <w:sz w:val="24"/>
          <w:szCs w:val="20"/>
          <w:highlight w:val="none"/>
        </w:rPr>
        <w:br w:type="page" w:clear="all"/>
      </w:r>
      <w:r>
        <w:rPr>
          <w:rFonts w:hint="eastAsia"/>
          <w:sz w:val="24"/>
          <w:szCs w:val="20"/>
          <w:highlight w:val="none"/>
        </w:rPr>
        <w:t xml:space="preserve">7</w:t>
      </w:r>
      <w:r>
        <w:rPr>
          <w:sz w:val="24"/>
          <w:szCs w:val="20"/>
          <w:highlight w:val="none"/>
        </w:rPr>
        <w:t xml:space="preserve">  </w:t>
      </w:r>
      <w:r>
        <w:rPr>
          <w:rFonts w:hint="eastAsia"/>
          <w:sz w:val="24"/>
          <w:szCs w:val="20"/>
          <w:highlight w:val="none"/>
        </w:rPr>
        <w:t xml:space="preserve">项目实施方案等</w:t>
      </w:r>
      <w:r>
        <w:rPr>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41"/>
        <w:rPr>
          <w:rFonts w:hint="eastAsia"/>
          <w:sz w:val="24"/>
          <w:highlight w:val="none"/>
        </w:rPr>
      </w:pPr>
      <w:r>
        <w:rPr>
          <w:rFonts w:hint="eastAsia"/>
          <w:sz w:val="24"/>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61"/>
        <w:rPr>
          <w:rFonts w:hint="eastAsia"/>
          <w:szCs w:val="20"/>
          <w:highlight w:val="none"/>
        </w:rPr>
      </w:pPr>
      <w:r>
        <w:rPr>
          <w:rFonts w:hint="eastAsia"/>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41"/>
        <w:rPr>
          <w:rFonts w:hint="eastAsia"/>
          <w:highlight w:val="none"/>
        </w:rPr>
      </w:pPr>
      <w:r>
        <w:rPr>
          <w:rFonts w:hint="eastAsia"/>
          <w:highlight w:val="none"/>
        </w:rPr>
      </w:r>
      <w:r/>
    </w:p>
    <w:p>
      <w:pPr>
        <w:pStyle w:val="1039"/>
        <w:rPr>
          <w:sz w:val="24"/>
          <w:szCs w:val="20"/>
          <w:highlight w:val="none"/>
        </w:rPr>
      </w:pPr>
      <w:r>
        <w:rPr>
          <w:rFonts w:hint="eastAsia"/>
          <w:sz w:val="24"/>
          <w:szCs w:val="20"/>
          <w:highlight w:val="none"/>
        </w:rPr>
        <w:t xml:space="preserve">8 参加本项目人员一览表</w:t>
      </w:r>
      <w:r>
        <w:rPr>
          <w:sz w:val="24"/>
          <w:szCs w:val="20"/>
          <w:highlight w:val="none"/>
        </w:rPr>
      </w:r>
      <w:r/>
    </w:p>
    <w:p>
      <w:pPr>
        <w:pStyle w:val="1039"/>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9"/>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39"/>
        <w:spacing w:line="360" w:lineRule="auto"/>
        <w:rPr>
          <w:rFonts w:ascii="宋体" w:hAnsi="宋体"/>
          <w:sz w:val="22"/>
          <w:highlight w:val="none"/>
        </w:rPr>
      </w:pPr>
      <w:r>
        <w:rPr>
          <w:rFonts w:ascii="宋体" w:hAnsi="宋体"/>
          <w:sz w:val="22"/>
          <w:highlight w:val="none"/>
        </w:rPr>
      </w:r>
      <w:r/>
    </w:p>
    <w:p>
      <w:pPr>
        <w:pStyle w:val="1039"/>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3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39"/>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39"/>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039"/>
        <w:spacing w:line="360" w:lineRule="auto"/>
        <w:rPr>
          <w:rFonts w:ascii="宋体" w:hAnsi="宋体"/>
          <w:sz w:val="24"/>
          <w:highlight w:val="none"/>
        </w:rPr>
      </w:pPr>
      <w:r>
        <w:rPr>
          <w:rFonts w:ascii="宋体" w:hAnsi="宋体"/>
          <w:sz w:val="24"/>
          <w:highlight w:val="none"/>
        </w:rPr>
      </w:r>
      <w:r/>
    </w:p>
    <w:p>
      <w:pPr>
        <w:pStyle w:val="1039"/>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39"/>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39"/>
        <w:rPr>
          <w:sz w:val="24"/>
          <w:szCs w:val="20"/>
          <w:highlight w:val="none"/>
        </w:rPr>
      </w:pPr>
      <w:r>
        <w:rPr>
          <w:sz w:val="22"/>
          <w:highlight w:val="none"/>
        </w:rPr>
        <w:br w:type="page" w:clear="all"/>
      </w:r>
      <w:bookmarkStart w:id="743" w:name="_Toc288738839"/>
      <w:r/>
      <w:bookmarkStart w:id="744" w:name="_Toc288738397"/>
      <w:r>
        <w:rPr>
          <w:rFonts w:hint="eastAsia"/>
          <w:sz w:val="22"/>
          <w:highlight w:val="none"/>
        </w:rPr>
        <w:t xml:space="preserve">9</w:t>
      </w:r>
      <w:r>
        <w:rPr>
          <w:rFonts w:hint="eastAsia"/>
          <w:sz w:val="24"/>
          <w:szCs w:val="20"/>
          <w:highlight w:val="none"/>
        </w:rPr>
        <w:t xml:space="preserve">  相关业绩案例一览表</w:t>
      </w:r>
      <w:r>
        <w:rPr>
          <w:sz w:val="24"/>
          <w:szCs w:val="20"/>
          <w:highlight w:val="none"/>
        </w:rPr>
      </w:r>
      <w:r/>
    </w:p>
    <w:p>
      <w:pPr>
        <w:pStyle w:val="1039"/>
        <w:rPr>
          <w:sz w:val="24"/>
          <w:szCs w:val="20"/>
          <w:highlight w:val="none"/>
        </w:rPr>
      </w:pPr>
      <w:r>
        <w:rPr>
          <w:sz w:val="24"/>
          <w:szCs w:val="20"/>
          <w:highlight w:val="none"/>
        </w:rPr>
      </w:r>
      <w:r/>
    </w:p>
    <w:p>
      <w:pPr>
        <w:pStyle w:val="1039"/>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3"/>
      <w:r/>
      <w:bookmarkEnd w:id="744"/>
      <w:r>
        <w:rPr>
          <w:rFonts w:ascii="宋体" w:hAnsi="宋体"/>
          <w:b/>
          <w:sz w:val="32"/>
          <w:szCs w:val="32"/>
          <w:highlight w:val="none"/>
        </w:rPr>
      </w:r>
      <w:r/>
    </w:p>
    <w:p>
      <w:pPr>
        <w:pStyle w:val="1039"/>
        <w:jc w:val="center"/>
        <w:spacing w:line="360" w:lineRule="auto"/>
        <w:rPr>
          <w:rFonts w:ascii="宋体" w:hAnsi="宋体"/>
          <w:b/>
          <w:sz w:val="28"/>
          <w:szCs w:val="30"/>
          <w:highlight w:val="none"/>
        </w:rPr>
      </w:pPr>
      <w:r>
        <w:rPr>
          <w:rFonts w:ascii="宋体" w:hAnsi="宋体"/>
          <w:b/>
          <w:sz w:val="28"/>
          <w:szCs w:val="30"/>
          <w:highlight w:val="none"/>
        </w:rPr>
      </w:r>
      <w:r/>
    </w:p>
    <w:p>
      <w:pPr>
        <w:pStyle w:val="1039"/>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9"/>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9"/>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9"/>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39"/>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39"/>
        <w:spacing w:line="360" w:lineRule="auto"/>
        <w:rPr>
          <w:rFonts w:ascii="宋体" w:hAnsi="宋体" w:cs="宋体"/>
          <w:sz w:val="24"/>
          <w:highlight w:val="none"/>
        </w:rPr>
      </w:pPr>
      <w:r>
        <w:rPr>
          <w:rFonts w:ascii="宋体" w:hAnsi="宋体" w:cs="宋体"/>
          <w:sz w:val="24"/>
          <w:highlight w:val="none"/>
        </w:rPr>
      </w:r>
      <w:r/>
    </w:p>
    <w:p>
      <w:pPr>
        <w:pStyle w:val="1039"/>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39"/>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41"/>
        <w:rPr>
          <w:rFonts w:hint="eastAsia"/>
          <w:highlight w:val="none"/>
        </w:rPr>
      </w:pPr>
      <w:r>
        <w:rPr>
          <w:rFonts w:hint="eastAsia"/>
          <w:highlight w:val="none"/>
        </w:rPr>
      </w:r>
      <w:r/>
    </w:p>
    <w:p>
      <w:pPr>
        <w:pStyle w:val="1039"/>
        <w:spacing w:line="360" w:lineRule="auto"/>
        <w:rPr>
          <w:rFonts w:hint="eastAsia"/>
          <w:sz w:val="24"/>
          <w:szCs w:val="20"/>
          <w:highlight w:val="none"/>
        </w:rPr>
        <w:outlineLvl w:val="2"/>
      </w:pPr>
      <w:r>
        <w:rPr>
          <w:rFonts w:hint="eastAsia"/>
          <w:sz w:val="24"/>
          <w:szCs w:val="20"/>
          <w:highlight w:val="none"/>
        </w:rPr>
      </w:r>
      <w:r/>
    </w:p>
    <w:p>
      <w:pPr>
        <w:pStyle w:val="1039"/>
        <w:spacing w:line="360" w:lineRule="auto"/>
        <w:rPr>
          <w:sz w:val="24"/>
          <w:highlight w:val="none"/>
        </w:rPr>
        <w:outlineLvl w:val="2"/>
      </w:pPr>
      <w:r>
        <w:rPr>
          <w:rFonts w:hint="eastAsia"/>
          <w:highlight w:val="none"/>
        </w:rPr>
        <w:t xml:space="preserve">11</w:t>
      </w:r>
      <w:r>
        <w:rPr>
          <w:sz w:val="24"/>
          <w:szCs w:val="20"/>
          <w:highlight w:val="none"/>
        </w:rPr>
        <w:t xml:space="preserve">  磋商文件要求提供或供应商认为应附的其他材料</w:t>
      </w:r>
      <w:r>
        <w:rPr>
          <w:sz w:val="24"/>
          <w:highlight w:val="none"/>
        </w:rPr>
      </w:r>
      <w:r/>
    </w:p>
    <w:p>
      <w:pPr>
        <w:pStyle w:val="1039"/>
        <w:rPr>
          <w:b/>
          <w:sz w:val="36"/>
          <w:szCs w:val="36"/>
          <w:highlight w:val="none"/>
        </w:rPr>
      </w:pPr>
      <w:r>
        <w:rPr>
          <w:b/>
          <w:sz w:val="36"/>
          <w:szCs w:val="36"/>
          <w:highlight w:val="none"/>
        </w:rPr>
      </w:r>
      <w:r/>
    </w:p>
    <w:p>
      <w:pPr>
        <w:pStyle w:val="1039"/>
        <w:rPr>
          <w:sz w:val="24"/>
          <w:highlight w:val="none"/>
          <w:lang w:val="zh-CN"/>
        </w:rPr>
      </w:pPr>
      <w:r>
        <w:rPr>
          <w:sz w:val="24"/>
          <w:szCs w:val="20"/>
          <w:highlight w:val="none"/>
        </w:rPr>
        <w:t xml:space="preserve"> </w:t>
      </w:r>
      <w:r>
        <w:rPr>
          <w:sz w:val="24"/>
          <w:highlight w:val="none"/>
          <w:lang w:val="zh-CN"/>
        </w:rPr>
      </w:r>
      <w:r/>
    </w:p>
    <w:p>
      <w:pPr>
        <w:pStyle w:val="1039"/>
        <w:jc w:val="left"/>
        <w:widowControl/>
        <w:rPr>
          <w:b/>
          <w:sz w:val="36"/>
          <w:szCs w:val="36"/>
          <w:highlight w:val="none"/>
        </w:rPr>
      </w:pPr>
      <w:r>
        <w:rPr>
          <w:b/>
          <w:sz w:val="36"/>
          <w:szCs w:val="36"/>
          <w:highlight w:val="none"/>
        </w:rPr>
      </w:r>
      <w:r/>
    </w:p>
    <w:sectPr>
      <w:headerReference w:type="even" r:id="rId11"/>
      <w:headerReference w:type="first" r:id="rId12"/>
      <w:footerReference w:type="default" r:id="rId20"/>
      <w:footerReference w:type="even" r:id="rId21"/>
      <w:footerReference w:type="first" r:id="rId22"/>
      <w:footnotePr/>
      <w:endnotePr/>
      <w:type w:val="nextPage"/>
      <w:pgSz w:w="11900" w:h="16832" w:orient="portrait"/>
      <w:pgMar w:top="1417" w:right="1757" w:bottom="1417" w:left="1757"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rPr>
        <w:rStyle w:val="1111"/>
      </w:rPr>
      <w:framePr w:wrap="around" w:vAnchor="text" w:hAnchor="margin" w:xAlign="center" w:y="1"/>
    </w:pPr>
    <w:r>
      <w:fldChar w:fldCharType="begin"/>
    </w:r>
    <w:r>
      <w:rPr>
        <w:rStyle w:val="1111"/>
      </w:rPr>
      <w:instrText xml:space="preserve">PAGE  </w:instrText>
    </w:r>
    <w:r>
      <w:fldChar w:fldCharType="end"/>
    </w:r>
    <w:r>
      <w:rPr>
        <w:rStyle w:val="1111"/>
      </w:rPr>
    </w:r>
    <w:r/>
  </w:p>
  <w:p>
    <w:pPr>
      <w:pStyle w:val="108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tabs>
        <w:tab w:val="center" w:pos="4193" w:leader="none"/>
        <w:tab w:val="right" w:pos="8306" w:leader="none"/>
      </w:tabs>
      <w:rPr>
        <w:rFonts w:hint="eastAsia" w:hAnsi="宋体" w:cs="宋体"/>
      </w:rPr>
    </w:pPr>
    <w:r>
      <w:rPr>
        <w:sz w:val="18"/>
      </w:rPr>
    </w:r>
    <w:r>
      <w:rPr>
        <w:rFonts w:hint="eastAsia" w:hAnsi="宋体" w:cs="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widowControl w:val="off"/>
      <w:tabs>
        <w:tab w:val="center" w:pos="4153" w:leader="none"/>
        <w:tab w:val="right" w:pos="8306" w:leader="none"/>
      </w:tabs>
      <w:rPr>
        <w:rFonts w:ascii="宋体" w:hAnsi="Times New Roman" w:eastAsia="宋体" w:cs="Times New Roman"/>
        <w:sz w:val="18"/>
        <w:szCs w:val="20"/>
        <w:lang w:val="en-US" w:eastAsia="zh-CN" w:bidi="ar-SA"/>
      </w:rPr>
      <w:framePr w:wrap="around" w:vAnchor="text" w:hAnchor="margin" w:xAlign="right" w:y="1"/>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21"/>
        <w:szCs w:val="24"/>
        <w:lang w:val="en-US" w:eastAsia="zh-CN" w:bidi="ar-SA"/>
      </w:rPr>
      <w:fldChar w:fldCharType="end"/>
    </w:r>
    <w:r>
      <w:rPr>
        <w:rFonts w:ascii="宋体" w:hAnsi="Times New Roman" w:eastAsia="宋体" w:cs="Times New Roman"/>
        <w:sz w:val="18"/>
        <w:szCs w:val="20"/>
        <w:lang w:val="en-US" w:eastAsia="zh-CN" w:bidi="ar-SA"/>
      </w:rPr>
    </w:r>
    <w:r/>
  </w:p>
  <w:p>
    <w:pPr>
      <w:pStyle w:val="1039"/>
      <w:ind w:right="360"/>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spacing w:line="176" w:lineRule="auto"/>
      <w:rPr>
        <w:rFonts w:hint="eastAsia" w:ascii="宋体" w:hAnsi="宋体" w:cs="宋体"/>
        <w:sz w:val="24"/>
      </w:rPr>
    </w:pPr>
    <w:r>
      <w:rPr>
        <w:sz w:val="24"/>
      </w:rPr>
    </w:r>
    <w:r>
      <w:rPr>
        <w:rFonts w:hint="eastAsia" w:ascii="宋体" w:hAnsi="宋体" w:cs="宋体"/>
        <w:sz w:val="24"/>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rPr>
        <w:rStyle w:val="1111"/>
      </w:rPr>
      <w:framePr w:wrap="around" w:vAnchor="text" w:hAnchor="margin" w:xAlign="right" w:y="1"/>
    </w:pPr>
    <w:r>
      <w:rPr>
        <w:rStyle w:val="1111"/>
      </w:rPr>
      <w:fldChar w:fldCharType="begin"/>
    </w:r>
    <w:r>
      <w:rPr>
        <w:rStyle w:val="1111"/>
      </w:rPr>
      <w:instrText xml:space="preserve">PAGE  </w:instrText>
    </w:r>
    <w:r>
      <w:rPr>
        <w:rStyle w:val="1111"/>
      </w:rPr>
      <w:fldChar w:fldCharType="end"/>
    </w:r>
    <w:r>
      <w:rPr>
        <w:rStyle w:val="1111"/>
      </w:rPr>
    </w:r>
    <w:r/>
  </w:p>
  <w:p>
    <w:pPr>
      <w:pStyle w:val="1087"/>
      <w:ind w:right="360"/>
      <w:tabs>
        <w:tab w:val="center" w:pos="4153" w:leader="none"/>
        <w:tab w:val="right" w:pos="8306" w:leader="none"/>
      </w:tabs>
    </w:pPr>
    <w:r/>
    <w:r/>
  </w:p>
  <w:p>
    <w:pPr>
      <w:pStyle w:val="103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firstLine="4680"/>
      <w:jc w:val="both"/>
      <w:tabs>
        <w:tab w:val="center" w:pos="4153" w:leader="none"/>
        <w:tab w:val="right" w:pos="8306"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right"/>
      <w:tabs>
        <w:tab w:val="center" w:pos="4153" w:leader="none"/>
        <w:tab w:val="right" w:pos="8306" w:leader="none"/>
      </w:tabs>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right" w:pos="8306" w:leader="none"/>
      </w:tabs>
    </w:pPr>
    <w:r/>
    <w:r/>
  </w:p>
  <w:p>
    <w:pPr>
      <w:pStyle w:val="10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9"/>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9"/>
        <w:ind w:left="900" w:hanging="900"/>
        <w:tabs>
          <w:tab w:val="num" w:pos="900" w:leader="none"/>
        </w:tabs>
      </w:pPr>
      <w:rPr>
        <w:rFonts w:hint="eastAsia"/>
      </w:rPr>
    </w:lvl>
    <w:lvl w:ilvl="1">
      <w:start w:val="1"/>
      <w:numFmt w:val="decimal"/>
      <w:isLgl w:val="false"/>
      <w:suff w:val="tab"/>
      <w:lvlText w:val="%1.%2"/>
      <w:lvlJc w:val="left"/>
      <w:pPr>
        <w:pStyle w:val="103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39"/>
        <w:ind w:left="1980" w:hanging="900"/>
        <w:tabs>
          <w:tab w:val="num" w:pos="1980" w:leader="none"/>
        </w:tabs>
      </w:pPr>
      <w:rPr>
        <w:rFonts w:hint="eastAsia"/>
      </w:rPr>
    </w:lvl>
    <w:lvl w:ilvl="3">
      <w:start w:val="1"/>
      <w:numFmt w:val="decimal"/>
      <w:isLgl w:val="false"/>
      <w:suff w:val="tab"/>
      <w:lvlText w:val="%1.%2.%3.%4"/>
      <w:lvlJc w:val="left"/>
      <w:pPr>
        <w:pStyle w:val="1039"/>
        <w:ind w:left="900" w:hanging="900"/>
        <w:tabs>
          <w:tab w:val="num" w:pos="900" w:leader="none"/>
        </w:tabs>
      </w:pPr>
      <w:rPr>
        <w:rFonts w:hint="eastAsia"/>
      </w:rPr>
    </w:lvl>
    <w:lvl w:ilvl="4">
      <w:start w:val="1"/>
      <w:numFmt w:val="decimal"/>
      <w:isLgl w:val="false"/>
      <w:suff w:val="tab"/>
      <w:lvlText w:val="%1.%2.%3.%4.%5"/>
      <w:lvlJc w:val="left"/>
      <w:pPr>
        <w:pStyle w:val="1039"/>
        <w:ind w:left="900" w:hanging="900"/>
        <w:tabs>
          <w:tab w:val="num" w:pos="900" w:leader="none"/>
        </w:tabs>
      </w:pPr>
      <w:rPr>
        <w:rFonts w:hint="eastAsia"/>
      </w:rPr>
    </w:lvl>
    <w:lvl w:ilvl="5">
      <w:start w:val="1"/>
      <w:numFmt w:val="decimal"/>
      <w:isLgl w:val="false"/>
      <w:suff w:val="tab"/>
      <w:lvlText w:val="%1.%2.%3.%4.%5.%6"/>
      <w:lvlJc w:val="left"/>
      <w:pPr>
        <w:pStyle w:val="1039"/>
        <w:ind w:left="900" w:hanging="900"/>
        <w:tabs>
          <w:tab w:val="num" w:pos="900" w:leader="none"/>
        </w:tabs>
      </w:pPr>
      <w:rPr>
        <w:rFonts w:hint="eastAsia"/>
      </w:rPr>
    </w:lvl>
    <w:lvl w:ilvl="6">
      <w:start w:val="1"/>
      <w:numFmt w:val="decimal"/>
      <w:isLgl w:val="false"/>
      <w:suff w:val="tab"/>
      <w:lvlText w:val="%1.%2.%3.%4.%5.%6.%7"/>
      <w:lvlJc w:val="left"/>
      <w:pPr>
        <w:pStyle w:val="1039"/>
        <w:ind w:left="900" w:hanging="900"/>
        <w:tabs>
          <w:tab w:val="num" w:pos="900" w:leader="none"/>
        </w:tabs>
      </w:pPr>
      <w:rPr>
        <w:rFonts w:hint="eastAsia"/>
      </w:rPr>
    </w:lvl>
    <w:lvl w:ilvl="7">
      <w:start w:val="1"/>
      <w:numFmt w:val="decimal"/>
      <w:isLgl w:val="false"/>
      <w:suff w:val="tab"/>
      <w:lvlText w:val="%1.%2.%3.%4.%5.%6.%7.%8"/>
      <w:lvlJc w:val="left"/>
      <w:pPr>
        <w:pStyle w:val="1039"/>
        <w:ind w:left="900" w:hanging="900"/>
        <w:tabs>
          <w:tab w:val="num" w:pos="900" w:leader="none"/>
        </w:tabs>
      </w:pPr>
      <w:rPr>
        <w:rFonts w:hint="eastAsia"/>
      </w:rPr>
    </w:lvl>
    <w:lvl w:ilvl="8">
      <w:start w:val="1"/>
      <w:numFmt w:val="decimal"/>
      <w:isLgl w:val="false"/>
      <w:suff w:val="tab"/>
      <w:lvlText w:val="%1.%2.%3.%4.%5.%6.%7.%8.%9"/>
      <w:lvlJc w:val="left"/>
      <w:pPr>
        <w:pStyle w:val="1039"/>
        <w:ind w:left="900" w:hanging="900"/>
        <w:tabs>
          <w:tab w:val="num" w:pos="900" w:leader="none"/>
        </w:tabs>
      </w:pPr>
      <w:rPr>
        <w:rFonts w:hint="eastAsia"/>
      </w:rPr>
    </w:lvl>
  </w:abstractNum>
  <w:abstractNum w:abstractNumId="2">
    <w:multiLevelType w:val="hybridMultilevel"/>
    <w:lvl w:ilvl="0">
      <w:start w:val="1"/>
      <w:numFmt w:val="decimal"/>
      <w:pStyle w:val="1148"/>
      <w:isLgl w:val="false"/>
      <w:suff w:val="tab"/>
      <w:lvlText w:val="%1."/>
      <w:lvlJc w:val="left"/>
      <w:pPr>
        <w:pStyle w:val="1039"/>
        <w:ind w:left="420" w:hanging="420"/>
      </w:pPr>
    </w:lvl>
    <w:lvl w:ilvl="1">
      <w:start w:val="1"/>
      <w:numFmt w:val="decimal"/>
      <w:isLgl w:val="false"/>
      <w:suff w:val="tab"/>
      <w:lvlText w:val="（%2）"/>
      <w:lvlJc w:val="left"/>
      <w:pPr>
        <w:pStyle w:val="1039"/>
        <w:ind w:left="1140" w:hanging="720"/>
        <w:tabs>
          <w:tab w:val="num" w:pos="1140" w:leader="none"/>
        </w:tabs>
      </w:pPr>
      <w:rPr>
        <w:rFonts w:hint="eastAsia"/>
      </w:rPr>
    </w:lvl>
    <w:lvl w:ilvl="2">
      <w:start w:val="1"/>
      <w:numFmt w:val="lowerRoman"/>
      <w:isLgl w:val="false"/>
      <w:suff w:val="tab"/>
      <w:lvlText w:val="%3."/>
      <w:lvlJc w:val="right"/>
      <w:pPr>
        <w:pStyle w:val="1039"/>
        <w:ind w:left="1260" w:hanging="420"/>
      </w:pPr>
    </w:lvl>
    <w:lvl w:ilvl="3">
      <w:start w:val="1"/>
      <w:numFmt w:val="decimal"/>
      <w:isLgl w:val="false"/>
      <w:suff w:val="tab"/>
      <w:lvlText w:val="%4."/>
      <w:lvlJc w:val="left"/>
      <w:pPr>
        <w:pStyle w:val="1039"/>
        <w:ind w:left="1680" w:hanging="420"/>
      </w:pPr>
    </w:lvl>
    <w:lvl w:ilvl="4">
      <w:start w:val="1"/>
      <w:numFmt w:val="lowerLetter"/>
      <w:isLgl w:val="false"/>
      <w:suff w:val="tab"/>
      <w:lvlText w:val="%5)"/>
      <w:lvlJc w:val="left"/>
      <w:pPr>
        <w:pStyle w:val="1039"/>
        <w:ind w:left="2100" w:hanging="420"/>
      </w:pPr>
    </w:lvl>
    <w:lvl w:ilvl="5">
      <w:start w:val="1"/>
      <w:numFmt w:val="lowerRoman"/>
      <w:isLgl w:val="false"/>
      <w:suff w:val="tab"/>
      <w:lvlText w:val="%6."/>
      <w:lvlJc w:val="right"/>
      <w:pPr>
        <w:pStyle w:val="1039"/>
        <w:ind w:left="2520" w:hanging="420"/>
      </w:pPr>
    </w:lvl>
    <w:lvl w:ilvl="6">
      <w:start w:val="1"/>
      <w:numFmt w:val="decimal"/>
      <w:isLgl w:val="false"/>
      <w:suff w:val="tab"/>
      <w:lvlText w:val="%7."/>
      <w:lvlJc w:val="left"/>
      <w:pPr>
        <w:pStyle w:val="1039"/>
        <w:ind w:left="2940" w:hanging="420"/>
      </w:pPr>
    </w:lvl>
    <w:lvl w:ilvl="7">
      <w:start w:val="1"/>
      <w:numFmt w:val="lowerLetter"/>
      <w:isLgl w:val="false"/>
      <w:suff w:val="tab"/>
      <w:lvlText w:val="%8)"/>
      <w:lvlJc w:val="left"/>
      <w:pPr>
        <w:pStyle w:val="1039"/>
        <w:ind w:left="3360" w:hanging="420"/>
      </w:pPr>
    </w:lvl>
    <w:lvl w:ilvl="8">
      <w:start w:val="1"/>
      <w:numFmt w:val="lowerRoman"/>
      <w:isLgl w:val="false"/>
      <w:suff w:val="tab"/>
      <w:lvlText w:val="%9."/>
      <w:lvlJc w:val="right"/>
      <w:pPr>
        <w:pStyle w:val="1039"/>
        <w:ind w:left="3780" w:hanging="420"/>
      </w:pPr>
    </w:lvl>
  </w:abstractNum>
  <w:abstractNum w:abstractNumId="3">
    <w:multiLevelType w:val="hybridMultilevel"/>
    <w:lvl w:ilvl="0">
      <w:start w:val="1"/>
      <w:numFmt w:val="lowerLetter"/>
      <w:pStyle w:val="1223"/>
      <w:isLgl w:val="false"/>
      <w:suff w:val="tab"/>
      <w:lvlText w:val="%1)"/>
      <w:lvlJc w:val="left"/>
      <w:pPr>
        <w:pStyle w:val="1039"/>
        <w:ind w:left="902" w:hanging="420"/>
      </w:pPr>
      <w:rPr>
        <w:color w:val="000000"/>
      </w:rPr>
    </w:lvl>
    <w:lvl w:ilvl="1">
      <w:start w:val="1"/>
      <w:numFmt w:val="lowerLetter"/>
      <w:isLgl w:val="false"/>
      <w:suff w:val="tab"/>
      <w:lvlText w:val="%2)"/>
      <w:lvlJc w:val="left"/>
      <w:pPr>
        <w:pStyle w:val="1039"/>
        <w:ind w:left="1322" w:hanging="420"/>
      </w:pPr>
    </w:lvl>
    <w:lvl w:ilvl="2">
      <w:start w:val="1"/>
      <w:numFmt w:val="lowerRoman"/>
      <w:isLgl w:val="false"/>
      <w:suff w:val="tab"/>
      <w:lvlText w:val="%3."/>
      <w:lvlJc w:val="right"/>
      <w:pPr>
        <w:pStyle w:val="1039"/>
        <w:ind w:left="1742" w:hanging="420"/>
      </w:pPr>
    </w:lvl>
    <w:lvl w:ilvl="3">
      <w:start w:val="1"/>
      <w:numFmt w:val="decimal"/>
      <w:isLgl w:val="false"/>
      <w:suff w:val="tab"/>
      <w:lvlText w:val="%4."/>
      <w:lvlJc w:val="left"/>
      <w:pPr>
        <w:pStyle w:val="1039"/>
        <w:ind w:left="2162" w:hanging="420"/>
      </w:pPr>
    </w:lvl>
    <w:lvl w:ilvl="4">
      <w:start w:val="1"/>
      <w:numFmt w:val="lowerLetter"/>
      <w:isLgl w:val="false"/>
      <w:suff w:val="tab"/>
      <w:lvlText w:val="%5)"/>
      <w:lvlJc w:val="left"/>
      <w:pPr>
        <w:pStyle w:val="1039"/>
        <w:ind w:left="2582" w:hanging="420"/>
      </w:pPr>
    </w:lvl>
    <w:lvl w:ilvl="5">
      <w:start w:val="1"/>
      <w:numFmt w:val="lowerRoman"/>
      <w:isLgl w:val="false"/>
      <w:suff w:val="tab"/>
      <w:lvlText w:val="%6."/>
      <w:lvlJc w:val="right"/>
      <w:pPr>
        <w:pStyle w:val="1039"/>
        <w:ind w:left="3002" w:hanging="420"/>
      </w:pPr>
    </w:lvl>
    <w:lvl w:ilvl="6">
      <w:start w:val="1"/>
      <w:numFmt w:val="decimal"/>
      <w:isLgl w:val="false"/>
      <w:suff w:val="tab"/>
      <w:lvlText w:val="%7."/>
      <w:lvlJc w:val="left"/>
      <w:pPr>
        <w:pStyle w:val="1039"/>
        <w:ind w:left="3422" w:hanging="420"/>
      </w:pPr>
    </w:lvl>
    <w:lvl w:ilvl="7">
      <w:start w:val="1"/>
      <w:numFmt w:val="lowerLetter"/>
      <w:isLgl w:val="false"/>
      <w:suff w:val="tab"/>
      <w:lvlText w:val="%8)"/>
      <w:lvlJc w:val="left"/>
      <w:pPr>
        <w:pStyle w:val="1039"/>
        <w:ind w:left="3842" w:hanging="420"/>
      </w:pPr>
    </w:lvl>
    <w:lvl w:ilvl="8">
      <w:start w:val="1"/>
      <w:numFmt w:val="lowerRoman"/>
      <w:isLgl w:val="false"/>
      <w:suff w:val="tab"/>
      <w:lvlText w:val="%9."/>
      <w:lvlJc w:val="right"/>
      <w:pPr>
        <w:pStyle w:val="1039"/>
        <w:ind w:left="4262" w:hanging="420"/>
      </w:pPr>
    </w:lvl>
  </w:abstractNum>
  <w:abstractNum w:abstractNumId="4">
    <w:multiLevelType w:val="hybridMultilevel"/>
    <w:lvl w:ilvl="0">
      <w:start w:val="1"/>
      <w:numFmt w:val="decimal"/>
      <w:pStyle w:val="1193"/>
      <w:isLgl w:val="false"/>
      <w:suff w:val="tab"/>
      <w:lvlText w:val="%1."/>
      <w:lvlJc w:val="left"/>
      <w:pPr>
        <w:pStyle w:val="103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2"/>
      <w:isLgl w:val="false"/>
      <w:suff w:val="nothing"/>
      <w:lvlText w:val="%1　"/>
      <w:lvlJc w:val="left"/>
      <w:pPr>
        <w:pStyle w:val="103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9"/>
        <w:ind w:left="-25" w:firstLine="0"/>
      </w:pPr>
      <w:rPr>
        <w:rFonts w:ascii="Times New Roman" w:hAnsi="Times New Roman" w:eastAsia="黑体"/>
        <w:b/>
        <w:i w:val="0"/>
        <w:sz w:val="28"/>
      </w:rPr>
    </w:lvl>
    <w:lvl w:ilvl="3">
      <w:start w:val="1"/>
      <w:numFmt w:val="decimal"/>
      <w:pStyle w:val="1178"/>
      <w:isLgl w:val="false"/>
      <w:suff w:val="nothing"/>
      <w:lvlText w:val="%1.%2.%3.%4　"/>
      <w:lvlJc w:val="left"/>
      <w:pPr>
        <w:pStyle w:val="103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9"/>
        <w:ind w:left="-25" w:firstLine="0"/>
      </w:pPr>
      <w:rPr>
        <w:rFonts w:ascii="Times New Roman" w:hAnsi="Times New Roman" w:eastAsia="宋体"/>
        <w:b/>
        <w:i w:val="0"/>
        <w:sz w:val="28"/>
      </w:rPr>
    </w:lvl>
    <w:lvl w:ilvl="6">
      <w:start w:val="1"/>
      <w:numFmt w:val="lowerLetter"/>
      <w:pStyle w:val="1199"/>
      <w:isLgl w:val="false"/>
      <w:suff w:val="tab"/>
      <w:lvlText w:val="%7) "/>
      <w:lvlJc w:val="left"/>
      <w:pPr>
        <w:pStyle w:val="1039"/>
        <w:ind w:left="-125" w:firstLine="400"/>
        <w:tabs>
          <w:tab w:val="num" w:pos="635" w:leader="none"/>
        </w:tabs>
      </w:pPr>
      <w:rPr>
        <w:rFonts w:ascii="Times New Roman" w:hAnsi="Times New Roman" w:eastAsia="宋体"/>
        <w:b/>
        <w:i w:val="0"/>
        <w:color w:val="000000"/>
        <w:sz w:val="28"/>
        <w:u w:val="none"/>
      </w:rPr>
    </w:lvl>
    <w:lvl w:ilvl="7">
      <w:start w:val="1"/>
      <w:numFmt w:val="decimal"/>
      <w:pStyle w:val="1162"/>
      <w:isLgl w:val="false"/>
      <w:suff w:val="tab"/>
      <w:lvlText w:val="%8) "/>
      <w:lvlJc w:val="left"/>
      <w:pPr>
        <w:pStyle w:val="103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39"/>
        <w:ind w:left="768" w:hanging="360"/>
        <w:tabs>
          <w:tab w:val="num" w:pos="768" w:leader="none"/>
        </w:tabs>
      </w:pPr>
      <w:rPr>
        <w:rFonts w:hint="eastAsia"/>
      </w:rPr>
    </w:lvl>
    <w:lvl w:ilvl="1">
      <w:start w:val="1"/>
      <w:numFmt w:val="decimal"/>
      <w:pStyle w:val="1180"/>
      <w:isLgl w:val="false"/>
      <w:suff w:val="tab"/>
      <w:lvlText w:val="%2、"/>
      <w:lvlJc w:val="left"/>
      <w:pPr>
        <w:pStyle w:val="1039"/>
        <w:ind w:left="1188" w:hanging="360"/>
        <w:tabs>
          <w:tab w:val="num" w:pos="1188" w:leader="none"/>
        </w:tabs>
      </w:pPr>
      <w:rPr>
        <w:rFonts w:hint="eastAsia"/>
      </w:rPr>
    </w:lvl>
    <w:lvl w:ilvl="2">
      <w:start w:val="1"/>
      <w:numFmt w:val="decimal"/>
      <w:isLgl w:val="false"/>
      <w:suff w:val="tab"/>
      <w:lvlText w:val="（%3）"/>
      <w:lvlJc w:val="left"/>
      <w:pPr>
        <w:pStyle w:val="1039"/>
        <w:ind w:left="1968" w:hanging="720"/>
        <w:tabs>
          <w:tab w:val="num" w:pos="1968" w:leader="none"/>
        </w:tabs>
      </w:pPr>
      <w:rPr>
        <w:rFonts w:hint="eastAsia"/>
        <w:u w:val="none"/>
      </w:rPr>
    </w:lvl>
    <w:lvl w:ilvl="3">
      <w:start w:val="1"/>
      <w:numFmt w:val="decimal"/>
      <w:isLgl w:val="false"/>
      <w:suff w:val="tab"/>
      <w:lvlText w:val="%4."/>
      <w:lvlJc w:val="left"/>
      <w:pPr>
        <w:pStyle w:val="1039"/>
        <w:ind w:left="2088" w:hanging="420"/>
        <w:tabs>
          <w:tab w:val="num" w:pos="2088" w:leader="none"/>
        </w:tabs>
      </w:pPr>
    </w:lvl>
    <w:lvl w:ilvl="4">
      <w:start w:val="1"/>
      <w:numFmt w:val="lowerLetter"/>
      <w:isLgl w:val="false"/>
      <w:suff w:val="tab"/>
      <w:lvlText w:val="%5)"/>
      <w:lvlJc w:val="left"/>
      <w:pPr>
        <w:pStyle w:val="1039"/>
        <w:ind w:left="2508" w:hanging="420"/>
        <w:tabs>
          <w:tab w:val="num" w:pos="2508" w:leader="none"/>
        </w:tabs>
      </w:pPr>
    </w:lvl>
    <w:lvl w:ilvl="5">
      <w:start w:val="1"/>
      <w:numFmt w:val="lowerRoman"/>
      <w:isLgl w:val="false"/>
      <w:suff w:val="tab"/>
      <w:lvlText w:val="%6."/>
      <w:lvlJc w:val="right"/>
      <w:pPr>
        <w:pStyle w:val="1039"/>
        <w:ind w:left="2928" w:hanging="420"/>
        <w:tabs>
          <w:tab w:val="num" w:pos="2928" w:leader="none"/>
        </w:tabs>
      </w:pPr>
    </w:lvl>
    <w:lvl w:ilvl="6">
      <w:start w:val="1"/>
      <w:numFmt w:val="decimal"/>
      <w:isLgl w:val="false"/>
      <w:suff w:val="tab"/>
      <w:lvlText w:val="%7."/>
      <w:lvlJc w:val="left"/>
      <w:pPr>
        <w:pStyle w:val="1039"/>
        <w:ind w:left="3348" w:hanging="420"/>
        <w:tabs>
          <w:tab w:val="num" w:pos="3348" w:leader="none"/>
        </w:tabs>
      </w:pPr>
    </w:lvl>
    <w:lvl w:ilvl="7">
      <w:start w:val="1"/>
      <w:numFmt w:val="lowerLetter"/>
      <w:isLgl w:val="false"/>
      <w:suff w:val="tab"/>
      <w:lvlText w:val="%8)"/>
      <w:lvlJc w:val="left"/>
      <w:pPr>
        <w:pStyle w:val="1039"/>
        <w:ind w:left="3768" w:hanging="420"/>
        <w:tabs>
          <w:tab w:val="num" w:pos="3768" w:leader="none"/>
        </w:tabs>
      </w:pPr>
    </w:lvl>
    <w:lvl w:ilvl="8">
      <w:start w:val="1"/>
      <w:numFmt w:val="lowerRoman"/>
      <w:isLgl w:val="false"/>
      <w:suff w:val="tab"/>
      <w:lvlText w:val="%9."/>
      <w:lvlJc w:val="right"/>
      <w:pPr>
        <w:pStyle w:val="1039"/>
        <w:ind w:left="4188" w:hanging="420"/>
        <w:tabs>
          <w:tab w:val="num" w:pos="4188" w:leader="none"/>
        </w:tabs>
      </w:pPr>
    </w:lvl>
  </w:abstractNum>
  <w:abstractNum w:abstractNumId="7">
    <w:multiLevelType w:val="hybridMultilevel"/>
    <w:lvl w:ilvl="0">
      <w:start w:val="1"/>
      <w:numFmt w:val="decimal"/>
      <w:pStyle w:val="1147"/>
      <w:isLgl w:val="false"/>
      <w:suff w:val="tab"/>
      <w:lvlText w:val="%1)"/>
      <w:lvlJc w:val="left"/>
      <w:pPr>
        <w:pStyle w:val="1039"/>
        <w:ind w:left="420" w:hanging="420"/>
      </w:pPr>
    </w:lvl>
    <w:lvl w:ilvl="1">
      <w:start w:val="1"/>
      <w:numFmt w:val="lowerLetter"/>
      <w:isLgl w:val="false"/>
      <w:suff w:val="tab"/>
      <w:lvlText w:val="%2)"/>
      <w:lvlJc w:val="left"/>
      <w:pPr>
        <w:pStyle w:val="1039"/>
        <w:ind w:left="840" w:hanging="420"/>
      </w:pPr>
    </w:lvl>
    <w:lvl w:ilvl="2">
      <w:start w:val="1"/>
      <w:numFmt w:val="lowerRoman"/>
      <w:isLgl w:val="false"/>
      <w:suff w:val="tab"/>
      <w:lvlText w:val="%3."/>
      <w:lvlJc w:val="right"/>
      <w:pPr>
        <w:pStyle w:val="1039"/>
        <w:ind w:left="1260" w:hanging="420"/>
      </w:pPr>
    </w:lvl>
    <w:lvl w:ilvl="3">
      <w:start w:val="1"/>
      <w:numFmt w:val="decimal"/>
      <w:isLgl w:val="false"/>
      <w:suff w:val="tab"/>
      <w:lvlText w:val="%4."/>
      <w:lvlJc w:val="left"/>
      <w:pPr>
        <w:pStyle w:val="1039"/>
        <w:ind w:left="1680" w:hanging="420"/>
      </w:pPr>
    </w:lvl>
    <w:lvl w:ilvl="4">
      <w:start w:val="1"/>
      <w:numFmt w:val="lowerLetter"/>
      <w:isLgl w:val="false"/>
      <w:suff w:val="tab"/>
      <w:lvlText w:val="%5)"/>
      <w:lvlJc w:val="left"/>
      <w:pPr>
        <w:pStyle w:val="1039"/>
        <w:ind w:left="2100" w:hanging="420"/>
      </w:pPr>
    </w:lvl>
    <w:lvl w:ilvl="5">
      <w:start w:val="1"/>
      <w:numFmt w:val="lowerRoman"/>
      <w:isLgl w:val="false"/>
      <w:suff w:val="tab"/>
      <w:lvlText w:val="%6."/>
      <w:lvlJc w:val="right"/>
      <w:pPr>
        <w:pStyle w:val="1039"/>
        <w:ind w:left="2520" w:hanging="420"/>
      </w:pPr>
    </w:lvl>
    <w:lvl w:ilvl="6">
      <w:start w:val="1"/>
      <w:numFmt w:val="decimal"/>
      <w:isLgl w:val="false"/>
      <w:suff w:val="tab"/>
      <w:lvlText w:val="%7."/>
      <w:lvlJc w:val="left"/>
      <w:pPr>
        <w:pStyle w:val="1039"/>
        <w:ind w:left="2940" w:hanging="420"/>
      </w:pPr>
    </w:lvl>
    <w:lvl w:ilvl="7">
      <w:start w:val="1"/>
      <w:numFmt w:val="lowerLetter"/>
      <w:isLgl w:val="false"/>
      <w:suff w:val="tab"/>
      <w:lvlText w:val="%8)"/>
      <w:lvlJc w:val="left"/>
      <w:pPr>
        <w:pStyle w:val="1039"/>
        <w:ind w:left="3360" w:hanging="420"/>
      </w:pPr>
    </w:lvl>
    <w:lvl w:ilvl="8">
      <w:start w:val="1"/>
      <w:numFmt w:val="lowerRoman"/>
      <w:isLgl w:val="false"/>
      <w:suff w:val="tab"/>
      <w:lvlText w:val="%9."/>
      <w:lvlJc w:val="right"/>
      <w:pPr>
        <w:pStyle w:val="1039"/>
        <w:ind w:left="3780" w:hanging="420"/>
      </w:pPr>
    </w:lvl>
  </w:abstractNum>
  <w:abstractNum w:abstractNumId="8">
    <w:multiLevelType w:val="hybridMultilevel"/>
    <w:lvl w:ilvl="0">
      <w:start w:val="1"/>
      <w:numFmt w:val="japaneseCounting"/>
      <w:isLgl w:val="false"/>
      <w:suff w:val="tab"/>
      <w:lvlText w:val="第%1章"/>
      <w:lvlJc w:val="left"/>
      <w:pPr>
        <w:pStyle w:val="1039"/>
        <w:ind w:left="4941" w:hanging="1140"/>
        <w:tabs>
          <w:tab w:val="num" w:pos="4941" w:leader="none"/>
        </w:tabs>
      </w:pPr>
      <w:rPr>
        <w:rFonts w:hint="eastAsia"/>
      </w:rPr>
    </w:lvl>
    <w:lvl w:ilvl="1">
      <w:start w:val="1"/>
      <w:numFmt w:val="lowerLetter"/>
      <w:isLgl w:val="false"/>
      <w:suff w:val="tab"/>
      <w:lvlText w:val="%2)"/>
      <w:lvlJc w:val="left"/>
      <w:pPr>
        <w:pStyle w:val="1039"/>
        <w:ind w:left="4641" w:hanging="420"/>
        <w:tabs>
          <w:tab w:val="num" w:pos="4641" w:leader="none"/>
        </w:tabs>
      </w:pPr>
    </w:lvl>
    <w:lvl w:ilvl="2">
      <w:start w:val="1"/>
      <w:numFmt w:val="lowerRoman"/>
      <w:isLgl w:val="false"/>
      <w:suff w:val="tab"/>
      <w:lvlText w:val="%3."/>
      <w:lvlJc w:val="right"/>
      <w:pPr>
        <w:pStyle w:val="1039"/>
        <w:ind w:left="5061" w:hanging="420"/>
        <w:tabs>
          <w:tab w:val="num" w:pos="5061" w:leader="none"/>
        </w:tabs>
      </w:pPr>
    </w:lvl>
    <w:lvl w:ilvl="3">
      <w:start w:val="1"/>
      <w:numFmt w:val="decimal"/>
      <w:isLgl w:val="false"/>
      <w:suff w:val="tab"/>
      <w:lvlText w:val="%4."/>
      <w:lvlJc w:val="left"/>
      <w:pPr>
        <w:pStyle w:val="1039"/>
        <w:ind w:left="5481" w:hanging="420"/>
        <w:tabs>
          <w:tab w:val="num" w:pos="5481" w:leader="none"/>
        </w:tabs>
      </w:pPr>
    </w:lvl>
    <w:lvl w:ilvl="4">
      <w:start w:val="1"/>
      <w:numFmt w:val="lowerLetter"/>
      <w:isLgl w:val="false"/>
      <w:suff w:val="tab"/>
      <w:lvlText w:val="%5)"/>
      <w:lvlJc w:val="left"/>
      <w:pPr>
        <w:pStyle w:val="1039"/>
        <w:ind w:left="5901" w:hanging="420"/>
        <w:tabs>
          <w:tab w:val="num" w:pos="5901" w:leader="none"/>
        </w:tabs>
      </w:pPr>
    </w:lvl>
    <w:lvl w:ilvl="5">
      <w:start w:val="1"/>
      <w:numFmt w:val="lowerRoman"/>
      <w:isLgl w:val="false"/>
      <w:suff w:val="tab"/>
      <w:lvlText w:val="%6."/>
      <w:lvlJc w:val="right"/>
      <w:pPr>
        <w:pStyle w:val="1039"/>
        <w:ind w:left="6321" w:hanging="420"/>
        <w:tabs>
          <w:tab w:val="num" w:pos="6321" w:leader="none"/>
        </w:tabs>
      </w:pPr>
    </w:lvl>
    <w:lvl w:ilvl="6">
      <w:start w:val="1"/>
      <w:numFmt w:val="decimal"/>
      <w:isLgl w:val="false"/>
      <w:suff w:val="tab"/>
      <w:lvlText w:val="%7."/>
      <w:lvlJc w:val="left"/>
      <w:pPr>
        <w:pStyle w:val="1039"/>
        <w:ind w:left="6741" w:hanging="420"/>
        <w:tabs>
          <w:tab w:val="num" w:pos="6741" w:leader="none"/>
        </w:tabs>
      </w:pPr>
    </w:lvl>
    <w:lvl w:ilvl="7">
      <w:start w:val="1"/>
      <w:numFmt w:val="lowerLetter"/>
      <w:isLgl w:val="false"/>
      <w:suff w:val="tab"/>
      <w:lvlText w:val="%8)"/>
      <w:lvlJc w:val="left"/>
      <w:pPr>
        <w:pStyle w:val="1039"/>
        <w:ind w:left="7161" w:hanging="420"/>
        <w:tabs>
          <w:tab w:val="num" w:pos="7161" w:leader="none"/>
        </w:tabs>
      </w:pPr>
    </w:lvl>
    <w:lvl w:ilvl="8">
      <w:start w:val="1"/>
      <w:numFmt w:val="lowerRoman"/>
      <w:isLgl w:val="false"/>
      <w:suff w:val="tab"/>
      <w:lvlText w:val="%9."/>
      <w:lvlJc w:val="right"/>
      <w:pPr>
        <w:pStyle w:val="1039"/>
        <w:ind w:left="7581" w:hanging="420"/>
        <w:tabs>
          <w:tab w:val="num" w:pos="7581" w:leader="none"/>
        </w:tabs>
      </w:pPr>
    </w:lvl>
  </w:abstractNum>
  <w:abstractNum w:abstractNumId="9">
    <w:multiLevelType w:val="hybridMultilevel"/>
    <w:lvl w:ilvl="0">
      <w:start w:val="1"/>
      <w:numFmt w:val="decimal"/>
      <w:pStyle w:val="1248"/>
      <w:isLgl w:val="false"/>
      <w:suff w:val="tab"/>
      <w:lvlText w:val="%1"/>
      <w:lvlJc w:val="left"/>
      <w:pPr>
        <w:pStyle w:val="1039"/>
        <w:ind w:left="680" w:hanging="680"/>
      </w:pPr>
      <w:rPr>
        <w:rFonts w:hint="eastAsia" w:ascii="宋体" w:hAnsi="宋体" w:eastAsia="宋体"/>
      </w:rPr>
    </w:lvl>
    <w:lvl w:ilvl="1">
      <w:start w:val="1"/>
      <w:numFmt w:val="decimal"/>
      <w:pStyle w:val="1249"/>
      <w:isLgl w:val="false"/>
      <w:suff w:val="tab"/>
      <w:lvlText w:val="%1.%2"/>
      <w:lvlJc w:val="left"/>
      <w:pPr>
        <w:pStyle w:val="1039"/>
        <w:ind w:left="851" w:hanging="851"/>
      </w:pPr>
      <w:rPr>
        <w:rFonts w:hint="eastAsia" w:ascii="宋体" w:hAnsi="宋体" w:eastAsia="宋体"/>
        <w:color w:val="000000"/>
      </w:rPr>
    </w:lvl>
    <w:lvl w:ilvl="2">
      <w:start w:val="1"/>
      <w:numFmt w:val="decimal"/>
      <w:pStyle w:val="1250"/>
      <w:isLgl w:val="false"/>
      <w:suff w:val="tab"/>
      <w:lvlText w:val="%1.%2.%3"/>
      <w:lvlJc w:val="left"/>
      <w:pPr>
        <w:pStyle w:val="1039"/>
        <w:ind w:left="851" w:hanging="851"/>
      </w:pPr>
      <w:rPr>
        <w:rFonts w:hint="eastAsia"/>
      </w:rPr>
    </w:lvl>
    <w:lvl w:ilvl="3">
      <w:start w:val="1"/>
      <w:numFmt w:val="decimal"/>
      <w:isLgl w:val="false"/>
      <w:suff w:val="tab"/>
      <w:lvlText w:val="%1.%2.%3.%4"/>
      <w:lvlJc w:val="left"/>
      <w:pPr>
        <w:pStyle w:val="1039"/>
        <w:ind w:left="680" w:hanging="680"/>
      </w:pPr>
      <w:rPr>
        <w:rFonts w:hint="eastAsia"/>
      </w:rPr>
    </w:lvl>
    <w:lvl w:ilvl="4">
      <w:start w:val="1"/>
      <w:numFmt w:val="decimal"/>
      <w:isLgl w:val="false"/>
      <w:suff w:val="tab"/>
      <w:lvlText w:val="%1.%2.%3.%4.%5"/>
      <w:lvlJc w:val="left"/>
      <w:pPr>
        <w:pStyle w:val="1039"/>
        <w:ind w:left="680" w:hanging="680"/>
      </w:pPr>
      <w:rPr>
        <w:rFonts w:hint="eastAsia"/>
      </w:rPr>
    </w:lvl>
    <w:lvl w:ilvl="5">
      <w:start w:val="1"/>
      <w:numFmt w:val="decimal"/>
      <w:isLgl w:val="false"/>
      <w:suff w:val="tab"/>
      <w:lvlText w:val="%1.%2.%3.%4.%5.%6"/>
      <w:lvlJc w:val="left"/>
      <w:pPr>
        <w:pStyle w:val="1039"/>
        <w:ind w:left="680" w:hanging="680"/>
      </w:pPr>
      <w:rPr>
        <w:rFonts w:hint="eastAsia"/>
      </w:rPr>
    </w:lvl>
    <w:lvl w:ilvl="6">
      <w:start w:val="1"/>
      <w:numFmt w:val="decimal"/>
      <w:isLgl w:val="false"/>
      <w:suff w:val="tab"/>
      <w:lvlText w:val="%1.%2.%3.%4.%5.%6.%7"/>
      <w:lvlJc w:val="left"/>
      <w:pPr>
        <w:pStyle w:val="1039"/>
        <w:ind w:left="680" w:hanging="680"/>
      </w:pPr>
      <w:rPr>
        <w:rFonts w:hint="eastAsia"/>
      </w:rPr>
    </w:lvl>
    <w:lvl w:ilvl="7">
      <w:start w:val="1"/>
      <w:numFmt w:val="decimal"/>
      <w:isLgl w:val="false"/>
      <w:suff w:val="tab"/>
      <w:lvlText w:val="%1.%2.%3.%4.%5.%6.%7.%8"/>
      <w:lvlJc w:val="left"/>
      <w:pPr>
        <w:pStyle w:val="1039"/>
        <w:ind w:left="680" w:hanging="680"/>
      </w:pPr>
      <w:rPr>
        <w:rFonts w:hint="eastAsia"/>
      </w:rPr>
    </w:lvl>
    <w:lvl w:ilvl="8">
      <w:start w:val="1"/>
      <w:numFmt w:val="decimal"/>
      <w:isLgl w:val="false"/>
      <w:suff w:val="tab"/>
      <w:lvlText w:val="%1.%2.%3.%4.%5.%6.%7.%8.%9"/>
      <w:lvlJc w:val="left"/>
      <w:pPr>
        <w:pStyle w:val="1039"/>
        <w:ind w:left="680" w:hanging="680"/>
      </w:pPr>
      <w:rPr>
        <w:rFonts w:hint="eastAsia"/>
      </w:rPr>
    </w:lvl>
  </w:abstractNum>
  <w:abstractNum w:abstractNumId="10">
    <w:multiLevelType w:val="hybridMultilevel"/>
    <w:lvl w:ilvl="0">
      <w:start w:val="1"/>
      <w:numFmt w:val="decimal"/>
      <w:isLgl w:val="false"/>
      <w:suff w:val="tab"/>
      <w:lvlText w:val="%1"/>
      <w:lvlJc w:val="left"/>
      <w:pPr>
        <w:pStyle w:val="1039"/>
        <w:ind w:left="900" w:hanging="900"/>
        <w:tabs>
          <w:tab w:val="num" w:pos="900" w:leader="none"/>
        </w:tabs>
      </w:pPr>
      <w:rPr>
        <w:rFonts w:hint="eastAsia"/>
      </w:rPr>
    </w:lvl>
    <w:lvl w:ilvl="1">
      <w:start w:val="1"/>
      <w:numFmt w:val="decimal"/>
      <w:isLgl w:val="false"/>
      <w:suff w:val="tab"/>
      <w:lvlText w:val="%1.%2"/>
      <w:lvlJc w:val="left"/>
      <w:pPr>
        <w:pStyle w:val="103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39"/>
        <w:ind w:left="1980" w:hanging="900"/>
        <w:tabs>
          <w:tab w:val="num" w:pos="1980" w:leader="none"/>
        </w:tabs>
      </w:pPr>
      <w:rPr>
        <w:rFonts w:hint="eastAsia"/>
      </w:rPr>
    </w:lvl>
    <w:lvl w:ilvl="3">
      <w:start w:val="1"/>
      <w:numFmt w:val="decimal"/>
      <w:isLgl w:val="false"/>
      <w:suff w:val="tab"/>
      <w:lvlText w:val="%1.%2.%3.%4"/>
      <w:lvlJc w:val="left"/>
      <w:pPr>
        <w:pStyle w:val="1039"/>
        <w:ind w:left="900" w:hanging="900"/>
        <w:tabs>
          <w:tab w:val="num" w:pos="900" w:leader="none"/>
        </w:tabs>
      </w:pPr>
      <w:rPr>
        <w:rFonts w:hint="eastAsia"/>
      </w:rPr>
    </w:lvl>
    <w:lvl w:ilvl="4">
      <w:start w:val="1"/>
      <w:numFmt w:val="decimal"/>
      <w:isLgl w:val="false"/>
      <w:suff w:val="tab"/>
      <w:lvlText w:val="%1.%2.%3.%4.%5"/>
      <w:lvlJc w:val="left"/>
      <w:pPr>
        <w:pStyle w:val="1039"/>
        <w:ind w:left="900" w:hanging="900"/>
        <w:tabs>
          <w:tab w:val="num" w:pos="900" w:leader="none"/>
        </w:tabs>
      </w:pPr>
      <w:rPr>
        <w:rFonts w:hint="eastAsia"/>
      </w:rPr>
    </w:lvl>
    <w:lvl w:ilvl="5">
      <w:start w:val="1"/>
      <w:numFmt w:val="decimal"/>
      <w:isLgl w:val="false"/>
      <w:suff w:val="tab"/>
      <w:lvlText w:val="%1.%2.%3.%4.%5.%6"/>
      <w:lvlJc w:val="left"/>
      <w:pPr>
        <w:pStyle w:val="1039"/>
        <w:ind w:left="900" w:hanging="900"/>
        <w:tabs>
          <w:tab w:val="num" w:pos="900" w:leader="none"/>
        </w:tabs>
      </w:pPr>
      <w:rPr>
        <w:rFonts w:hint="eastAsia"/>
      </w:rPr>
    </w:lvl>
    <w:lvl w:ilvl="6">
      <w:start w:val="1"/>
      <w:numFmt w:val="decimal"/>
      <w:isLgl w:val="false"/>
      <w:suff w:val="tab"/>
      <w:lvlText w:val="%1.%2.%3.%4.%5.%6.%7"/>
      <w:lvlJc w:val="left"/>
      <w:pPr>
        <w:pStyle w:val="1039"/>
        <w:ind w:left="900" w:hanging="900"/>
        <w:tabs>
          <w:tab w:val="num" w:pos="900" w:leader="none"/>
        </w:tabs>
      </w:pPr>
      <w:rPr>
        <w:rFonts w:hint="eastAsia"/>
      </w:rPr>
    </w:lvl>
    <w:lvl w:ilvl="7">
      <w:start w:val="1"/>
      <w:numFmt w:val="decimal"/>
      <w:isLgl w:val="false"/>
      <w:suff w:val="tab"/>
      <w:lvlText w:val="%1.%2.%3.%4.%5.%6.%7.%8"/>
      <w:lvlJc w:val="left"/>
      <w:pPr>
        <w:pStyle w:val="1039"/>
        <w:ind w:left="900" w:hanging="900"/>
        <w:tabs>
          <w:tab w:val="num" w:pos="900" w:leader="none"/>
        </w:tabs>
      </w:pPr>
      <w:rPr>
        <w:rFonts w:hint="eastAsia"/>
      </w:rPr>
    </w:lvl>
    <w:lvl w:ilvl="8">
      <w:start w:val="1"/>
      <w:numFmt w:val="decimal"/>
      <w:isLgl w:val="false"/>
      <w:suff w:val="tab"/>
      <w:lvlText w:val="%1.%2.%3.%4.%5.%6.%7.%8.%9"/>
      <w:lvlJc w:val="left"/>
      <w:pPr>
        <w:pStyle w:val="1039"/>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1039"/>
        <w:ind w:left="710" w:hanging="500"/>
      </w:pPr>
    </w:lvl>
    <w:lvl w:ilvl="1">
      <w:start w:val="1"/>
      <w:numFmt w:val="lowerLetter"/>
      <w:isLgl w:val="false"/>
      <w:suff w:val="tab"/>
      <w:lvlText w:val="%2)"/>
      <w:lvlJc w:val="left"/>
      <w:pPr>
        <w:pStyle w:val="1039"/>
        <w:ind w:left="1050" w:hanging="420"/>
      </w:pPr>
    </w:lvl>
    <w:lvl w:ilvl="2">
      <w:start w:val="1"/>
      <w:numFmt w:val="lowerRoman"/>
      <w:isLgl w:val="false"/>
      <w:suff w:val="tab"/>
      <w:lvlText w:val="%3."/>
      <w:lvlJc w:val="right"/>
      <w:pPr>
        <w:pStyle w:val="1039"/>
        <w:ind w:left="1470" w:hanging="420"/>
      </w:pPr>
    </w:lvl>
    <w:lvl w:ilvl="3">
      <w:start w:val="1"/>
      <w:numFmt w:val="decimal"/>
      <w:isLgl w:val="false"/>
      <w:suff w:val="tab"/>
      <w:lvlText w:val="%4."/>
      <w:lvlJc w:val="left"/>
      <w:pPr>
        <w:pStyle w:val="1039"/>
        <w:ind w:left="1890" w:hanging="420"/>
      </w:pPr>
    </w:lvl>
    <w:lvl w:ilvl="4">
      <w:start w:val="1"/>
      <w:numFmt w:val="lowerLetter"/>
      <w:isLgl w:val="false"/>
      <w:suff w:val="tab"/>
      <w:lvlText w:val="%5)"/>
      <w:lvlJc w:val="left"/>
      <w:pPr>
        <w:pStyle w:val="1039"/>
        <w:ind w:left="2310" w:hanging="420"/>
      </w:pPr>
    </w:lvl>
    <w:lvl w:ilvl="5">
      <w:start w:val="1"/>
      <w:numFmt w:val="lowerRoman"/>
      <w:isLgl w:val="false"/>
      <w:suff w:val="tab"/>
      <w:lvlText w:val="%6."/>
      <w:lvlJc w:val="right"/>
      <w:pPr>
        <w:pStyle w:val="1039"/>
        <w:ind w:left="2730" w:hanging="420"/>
      </w:pPr>
    </w:lvl>
    <w:lvl w:ilvl="6">
      <w:start w:val="1"/>
      <w:numFmt w:val="decimal"/>
      <w:isLgl w:val="false"/>
      <w:suff w:val="tab"/>
      <w:lvlText w:val="%7."/>
      <w:lvlJc w:val="left"/>
      <w:pPr>
        <w:pStyle w:val="1039"/>
        <w:ind w:left="3150" w:hanging="420"/>
      </w:pPr>
    </w:lvl>
    <w:lvl w:ilvl="7">
      <w:start w:val="1"/>
      <w:numFmt w:val="lowerLetter"/>
      <w:isLgl w:val="false"/>
      <w:suff w:val="tab"/>
      <w:lvlText w:val="%8)"/>
      <w:lvlJc w:val="left"/>
      <w:pPr>
        <w:pStyle w:val="1039"/>
        <w:ind w:left="3570" w:hanging="420"/>
      </w:pPr>
    </w:lvl>
    <w:lvl w:ilvl="8">
      <w:start w:val="1"/>
      <w:numFmt w:val="lowerRoman"/>
      <w:isLgl w:val="false"/>
      <w:suff w:val="tab"/>
      <w:lvlText w:val="%9."/>
      <w:lvlJc w:val="right"/>
      <w:pPr>
        <w:pStyle w:val="1039"/>
        <w:ind w:left="3990" w:hanging="420"/>
      </w:pPr>
    </w:lvl>
  </w:abstractNum>
  <w:abstractNum w:abstractNumId="12">
    <w:multiLevelType w:val="hybridMultilevel"/>
    <w:lvl w:ilvl="0">
      <w:start w:val="1"/>
      <w:numFmt w:val="decimal"/>
      <w:isLgl w:val="false"/>
      <w:suff w:val="nothing"/>
      <w:lvlText w:val="%1、"/>
      <w:lvlJc w:val="left"/>
      <w:pPr>
        <w:pStyle w:val="10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39"/>
        <w:ind w:left="900" w:hanging="900"/>
        <w:tabs>
          <w:tab w:val="num" w:pos="900" w:leader="none"/>
        </w:tabs>
      </w:pPr>
      <w:rPr>
        <w:rFonts w:hint="eastAsia"/>
      </w:rPr>
    </w:lvl>
    <w:lvl w:ilvl="1">
      <w:start w:val="1"/>
      <w:numFmt w:val="decimal"/>
      <w:isLgl w:val="false"/>
      <w:suff w:val="tab"/>
      <w:lvlText w:val="%1.%2"/>
      <w:lvlJc w:val="left"/>
      <w:pPr>
        <w:pStyle w:val="103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9"/>
        <w:ind w:left="1980" w:hanging="900"/>
        <w:tabs>
          <w:tab w:val="num" w:pos="1980" w:leader="none"/>
        </w:tabs>
      </w:pPr>
      <w:rPr>
        <w:rFonts w:hint="eastAsia"/>
      </w:rPr>
    </w:lvl>
    <w:lvl w:ilvl="3">
      <w:start w:val="1"/>
      <w:numFmt w:val="decimal"/>
      <w:isLgl w:val="false"/>
      <w:suff w:val="tab"/>
      <w:lvlText w:val="%1.%2.%3.%4"/>
      <w:lvlJc w:val="left"/>
      <w:pPr>
        <w:pStyle w:val="1039"/>
        <w:ind w:left="900" w:hanging="900"/>
        <w:tabs>
          <w:tab w:val="num" w:pos="900" w:leader="none"/>
        </w:tabs>
      </w:pPr>
      <w:rPr>
        <w:rFonts w:hint="eastAsia"/>
      </w:rPr>
    </w:lvl>
    <w:lvl w:ilvl="4">
      <w:start w:val="1"/>
      <w:numFmt w:val="decimal"/>
      <w:isLgl w:val="false"/>
      <w:suff w:val="tab"/>
      <w:lvlText w:val="%1.%2.%3.%4.%5"/>
      <w:lvlJc w:val="left"/>
      <w:pPr>
        <w:pStyle w:val="1039"/>
        <w:ind w:left="900" w:hanging="900"/>
        <w:tabs>
          <w:tab w:val="num" w:pos="900" w:leader="none"/>
        </w:tabs>
      </w:pPr>
      <w:rPr>
        <w:rFonts w:hint="eastAsia"/>
      </w:rPr>
    </w:lvl>
    <w:lvl w:ilvl="5">
      <w:start w:val="1"/>
      <w:numFmt w:val="decimal"/>
      <w:isLgl w:val="false"/>
      <w:suff w:val="tab"/>
      <w:lvlText w:val="%1.%2.%3.%4.%5.%6"/>
      <w:lvlJc w:val="left"/>
      <w:pPr>
        <w:pStyle w:val="1039"/>
        <w:ind w:left="900" w:hanging="900"/>
        <w:tabs>
          <w:tab w:val="num" w:pos="900" w:leader="none"/>
        </w:tabs>
      </w:pPr>
      <w:rPr>
        <w:rFonts w:hint="eastAsia"/>
      </w:rPr>
    </w:lvl>
    <w:lvl w:ilvl="6">
      <w:start w:val="1"/>
      <w:numFmt w:val="decimal"/>
      <w:isLgl w:val="false"/>
      <w:suff w:val="tab"/>
      <w:lvlText w:val="%1.%2.%3.%4.%5.%6.%7"/>
      <w:lvlJc w:val="left"/>
      <w:pPr>
        <w:pStyle w:val="1039"/>
        <w:ind w:left="900" w:hanging="900"/>
        <w:tabs>
          <w:tab w:val="num" w:pos="900" w:leader="none"/>
        </w:tabs>
      </w:pPr>
      <w:rPr>
        <w:rFonts w:hint="eastAsia"/>
      </w:rPr>
    </w:lvl>
    <w:lvl w:ilvl="7">
      <w:start w:val="1"/>
      <w:numFmt w:val="decimal"/>
      <w:isLgl w:val="false"/>
      <w:suff w:val="tab"/>
      <w:lvlText w:val="%1.%2.%3.%4.%5.%6.%7.%8"/>
      <w:lvlJc w:val="left"/>
      <w:pPr>
        <w:pStyle w:val="1039"/>
        <w:ind w:left="900" w:hanging="900"/>
        <w:tabs>
          <w:tab w:val="num" w:pos="900" w:leader="none"/>
        </w:tabs>
      </w:pPr>
      <w:rPr>
        <w:rFonts w:hint="eastAsia"/>
      </w:rPr>
    </w:lvl>
    <w:lvl w:ilvl="8">
      <w:start w:val="1"/>
      <w:numFmt w:val="decimal"/>
      <w:isLgl w:val="false"/>
      <w:suff w:val="tab"/>
      <w:lvlText w:val="%1.%2.%3.%4.%5.%6.%7.%8.%9"/>
      <w:lvlJc w:val="left"/>
      <w:pPr>
        <w:pStyle w:val="1039"/>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9"/>
  </w:num>
  <w:num w:numId="8">
    <w:abstractNumId w:val="13"/>
  </w:num>
  <w:num w:numId="9">
    <w:abstractNumId w:val="8"/>
  </w:num>
  <w:num w:numId="10">
    <w:abstractNumId w:val="10"/>
  </w:num>
  <w:num w:numId="11">
    <w:abstractNumId w:val="1"/>
  </w:num>
  <w:num w:numId="12">
    <w:abstractNumId w:val="11"/>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39"/>
    <w:next w:val="1039"/>
    <w:link w:val="862"/>
    <w:uiPriority w:val="9"/>
    <w:qFormat/>
    <w:pPr>
      <w:keepLines/>
      <w:keepNext/>
      <w:spacing w:before="480" w:after="200"/>
      <w:outlineLvl w:val="0"/>
    </w:pPr>
    <w:rPr>
      <w:rFonts w:ascii="Arial" w:hAnsi="Arial" w:eastAsia="Arial" w:cs="Arial"/>
      <w:sz w:val="40"/>
      <w:szCs w:val="40"/>
    </w:rPr>
  </w:style>
  <w:style w:type="character" w:styleId="862">
    <w:name w:val="Heading 1 Char"/>
    <w:link w:val="861"/>
    <w:uiPriority w:val="9"/>
    <w:rPr>
      <w:rFonts w:ascii="Arial" w:hAnsi="Arial" w:eastAsia="Arial" w:cs="Arial"/>
      <w:sz w:val="40"/>
      <w:szCs w:val="40"/>
    </w:rPr>
  </w:style>
  <w:style w:type="paragraph" w:styleId="863">
    <w:name w:val="Heading 2"/>
    <w:basedOn w:val="1039"/>
    <w:next w:val="1039"/>
    <w:link w:val="864"/>
    <w:uiPriority w:val="9"/>
    <w:unhideWhenUsed/>
    <w:qFormat/>
    <w:pPr>
      <w:keepLines/>
      <w:keepNext/>
      <w:spacing w:before="360" w:after="200"/>
      <w:outlineLvl w:val="1"/>
    </w:pPr>
    <w:rPr>
      <w:rFonts w:ascii="Arial" w:hAnsi="Arial" w:eastAsia="Arial" w:cs="Arial"/>
      <w:sz w:val="34"/>
    </w:rPr>
  </w:style>
  <w:style w:type="character" w:styleId="864">
    <w:name w:val="Heading 2 Char"/>
    <w:link w:val="863"/>
    <w:uiPriority w:val="9"/>
    <w:rPr>
      <w:rFonts w:ascii="Arial" w:hAnsi="Arial" w:eastAsia="Arial" w:cs="Arial"/>
      <w:sz w:val="34"/>
    </w:rPr>
  </w:style>
  <w:style w:type="paragraph" w:styleId="865">
    <w:name w:val="Heading 3"/>
    <w:basedOn w:val="1039"/>
    <w:next w:val="1039"/>
    <w:link w:val="866"/>
    <w:uiPriority w:val="9"/>
    <w:unhideWhenUsed/>
    <w:qFormat/>
    <w:pPr>
      <w:keepLines/>
      <w:keepNext/>
      <w:spacing w:before="320" w:after="200"/>
      <w:outlineLvl w:val="2"/>
    </w:pPr>
    <w:rPr>
      <w:rFonts w:ascii="Arial" w:hAnsi="Arial" w:eastAsia="Arial" w:cs="Arial"/>
      <w:sz w:val="30"/>
      <w:szCs w:val="30"/>
    </w:rPr>
  </w:style>
  <w:style w:type="character" w:styleId="866">
    <w:name w:val="Heading 3 Char"/>
    <w:link w:val="865"/>
    <w:uiPriority w:val="9"/>
    <w:rPr>
      <w:rFonts w:ascii="Arial" w:hAnsi="Arial" w:eastAsia="Arial" w:cs="Arial"/>
      <w:sz w:val="30"/>
      <w:szCs w:val="30"/>
    </w:rPr>
  </w:style>
  <w:style w:type="paragraph" w:styleId="867">
    <w:name w:val="Heading 4"/>
    <w:basedOn w:val="1039"/>
    <w:next w:val="1039"/>
    <w:link w:val="868"/>
    <w:uiPriority w:val="9"/>
    <w:unhideWhenUsed/>
    <w:qFormat/>
    <w:pPr>
      <w:keepLines/>
      <w:keepNext/>
      <w:spacing w:before="320" w:after="200"/>
      <w:outlineLvl w:val="3"/>
    </w:pPr>
    <w:rPr>
      <w:rFonts w:ascii="Arial" w:hAnsi="Arial" w:eastAsia="Arial" w:cs="Arial"/>
      <w:b/>
      <w:bCs/>
      <w:sz w:val="26"/>
      <w:szCs w:val="26"/>
    </w:rPr>
  </w:style>
  <w:style w:type="character" w:styleId="868">
    <w:name w:val="Heading 4 Char"/>
    <w:link w:val="867"/>
    <w:uiPriority w:val="9"/>
    <w:rPr>
      <w:rFonts w:ascii="Arial" w:hAnsi="Arial" w:eastAsia="Arial" w:cs="Arial"/>
      <w:b/>
      <w:bCs/>
      <w:sz w:val="26"/>
      <w:szCs w:val="26"/>
    </w:rPr>
  </w:style>
  <w:style w:type="paragraph" w:styleId="869">
    <w:name w:val="Heading 5"/>
    <w:basedOn w:val="1039"/>
    <w:next w:val="1039"/>
    <w:link w:val="870"/>
    <w:uiPriority w:val="9"/>
    <w:unhideWhenUsed/>
    <w:qFormat/>
    <w:pPr>
      <w:keepLines/>
      <w:keepNext/>
      <w:spacing w:before="320" w:after="200"/>
      <w:outlineLvl w:val="4"/>
    </w:pPr>
    <w:rPr>
      <w:rFonts w:ascii="Arial" w:hAnsi="Arial" w:eastAsia="Arial" w:cs="Arial"/>
      <w:b/>
      <w:bCs/>
      <w:sz w:val="24"/>
      <w:szCs w:val="24"/>
    </w:rPr>
  </w:style>
  <w:style w:type="character" w:styleId="870">
    <w:name w:val="Heading 5 Char"/>
    <w:link w:val="869"/>
    <w:uiPriority w:val="9"/>
    <w:rPr>
      <w:rFonts w:ascii="Arial" w:hAnsi="Arial" w:eastAsia="Arial" w:cs="Arial"/>
      <w:b/>
      <w:bCs/>
      <w:sz w:val="24"/>
      <w:szCs w:val="24"/>
    </w:rPr>
  </w:style>
  <w:style w:type="paragraph" w:styleId="871">
    <w:name w:val="Heading 6"/>
    <w:basedOn w:val="1039"/>
    <w:next w:val="1039"/>
    <w:link w:val="872"/>
    <w:uiPriority w:val="9"/>
    <w:unhideWhenUsed/>
    <w:qFormat/>
    <w:pPr>
      <w:keepLines/>
      <w:keepNext/>
      <w:spacing w:before="320" w:after="200"/>
      <w:outlineLvl w:val="5"/>
    </w:pPr>
    <w:rPr>
      <w:rFonts w:ascii="Arial" w:hAnsi="Arial" w:eastAsia="Arial" w:cs="Arial"/>
      <w:b/>
      <w:bCs/>
      <w:sz w:val="22"/>
      <w:szCs w:val="22"/>
    </w:rPr>
  </w:style>
  <w:style w:type="character" w:styleId="872">
    <w:name w:val="Heading 6 Char"/>
    <w:link w:val="871"/>
    <w:uiPriority w:val="9"/>
    <w:rPr>
      <w:rFonts w:ascii="Arial" w:hAnsi="Arial" w:eastAsia="Arial" w:cs="Arial"/>
      <w:b/>
      <w:bCs/>
      <w:sz w:val="22"/>
      <w:szCs w:val="22"/>
    </w:rPr>
  </w:style>
  <w:style w:type="paragraph" w:styleId="873">
    <w:name w:val="Heading 7"/>
    <w:basedOn w:val="1039"/>
    <w:next w:val="1039"/>
    <w:link w:val="874"/>
    <w:uiPriority w:val="9"/>
    <w:unhideWhenUsed/>
    <w:qFormat/>
    <w:pPr>
      <w:keepLines/>
      <w:keepNext/>
      <w:spacing w:before="320" w:after="200"/>
      <w:outlineLvl w:val="6"/>
    </w:pPr>
    <w:rPr>
      <w:rFonts w:ascii="Arial" w:hAnsi="Arial" w:eastAsia="Arial" w:cs="Arial"/>
      <w:b/>
      <w:bCs/>
      <w:i/>
      <w:iCs/>
      <w:sz w:val="22"/>
      <w:szCs w:val="22"/>
    </w:rPr>
  </w:style>
  <w:style w:type="character" w:styleId="874">
    <w:name w:val="Heading 7 Char"/>
    <w:link w:val="873"/>
    <w:uiPriority w:val="9"/>
    <w:rPr>
      <w:rFonts w:ascii="Arial" w:hAnsi="Arial" w:eastAsia="Arial" w:cs="Arial"/>
      <w:b/>
      <w:bCs/>
      <w:i/>
      <w:iCs/>
      <w:sz w:val="22"/>
      <w:szCs w:val="22"/>
    </w:rPr>
  </w:style>
  <w:style w:type="paragraph" w:styleId="875">
    <w:name w:val="Heading 8"/>
    <w:basedOn w:val="1039"/>
    <w:next w:val="1039"/>
    <w:link w:val="876"/>
    <w:uiPriority w:val="9"/>
    <w:unhideWhenUsed/>
    <w:qFormat/>
    <w:pPr>
      <w:keepLines/>
      <w:keepNext/>
      <w:spacing w:before="320" w:after="200"/>
      <w:outlineLvl w:val="7"/>
    </w:pPr>
    <w:rPr>
      <w:rFonts w:ascii="Arial" w:hAnsi="Arial" w:eastAsia="Arial" w:cs="Arial"/>
      <w:i/>
      <w:iCs/>
      <w:sz w:val="22"/>
      <w:szCs w:val="22"/>
    </w:rPr>
  </w:style>
  <w:style w:type="character" w:styleId="876">
    <w:name w:val="Heading 8 Char"/>
    <w:link w:val="875"/>
    <w:uiPriority w:val="9"/>
    <w:rPr>
      <w:rFonts w:ascii="Arial" w:hAnsi="Arial" w:eastAsia="Arial" w:cs="Arial"/>
      <w:i/>
      <w:iCs/>
      <w:sz w:val="22"/>
      <w:szCs w:val="22"/>
    </w:rPr>
  </w:style>
  <w:style w:type="paragraph" w:styleId="877">
    <w:name w:val="Heading 9"/>
    <w:basedOn w:val="1039"/>
    <w:next w:val="1039"/>
    <w:link w:val="878"/>
    <w:uiPriority w:val="9"/>
    <w:unhideWhenUsed/>
    <w:qFormat/>
    <w:pPr>
      <w:keepLines/>
      <w:keepNext/>
      <w:spacing w:before="320" w:after="200"/>
      <w:outlineLvl w:val="8"/>
    </w:pPr>
    <w:rPr>
      <w:rFonts w:ascii="Arial" w:hAnsi="Arial" w:eastAsia="Arial" w:cs="Arial"/>
      <w:i/>
      <w:iCs/>
      <w:sz w:val="21"/>
      <w:szCs w:val="21"/>
    </w:rPr>
  </w:style>
  <w:style w:type="character" w:styleId="878">
    <w:name w:val="Heading 9 Char"/>
    <w:link w:val="877"/>
    <w:uiPriority w:val="9"/>
    <w:rPr>
      <w:rFonts w:ascii="Arial" w:hAnsi="Arial" w:eastAsia="Arial" w:cs="Arial"/>
      <w:i/>
      <w:iCs/>
      <w:sz w:val="21"/>
      <w:szCs w:val="21"/>
    </w:rPr>
  </w:style>
  <w:style w:type="paragraph" w:styleId="879">
    <w:name w:val="List Paragraph"/>
    <w:basedOn w:val="1039"/>
    <w:uiPriority w:val="34"/>
    <w:qFormat/>
    <w:pPr>
      <w:contextualSpacing/>
      <w:ind w:left="720"/>
    </w:pPr>
  </w:style>
  <w:style w:type="paragraph" w:styleId="880">
    <w:name w:val="No Spacing"/>
    <w:uiPriority w:val="1"/>
    <w:qFormat/>
    <w:pPr>
      <w:spacing w:before="0" w:after="0" w:line="240" w:lineRule="auto"/>
    </w:pPr>
  </w:style>
  <w:style w:type="paragraph" w:styleId="881">
    <w:name w:val="Title"/>
    <w:basedOn w:val="1039"/>
    <w:next w:val="1039"/>
    <w:link w:val="882"/>
    <w:uiPriority w:val="10"/>
    <w:qFormat/>
    <w:pPr>
      <w:contextualSpacing/>
      <w:spacing w:before="300" w:after="200"/>
    </w:pPr>
    <w:rPr>
      <w:sz w:val="48"/>
      <w:szCs w:val="48"/>
    </w:rPr>
  </w:style>
  <w:style w:type="character" w:styleId="882">
    <w:name w:val="Title Char"/>
    <w:link w:val="881"/>
    <w:uiPriority w:val="10"/>
    <w:rPr>
      <w:sz w:val="48"/>
      <w:szCs w:val="48"/>
    </w:rPr>
  </w:style>
  <w:style w:type="paragraph" w:styleId="883">
    <w:name w:val="Subtitle"/>
    <w:basedOn w:val="1039"/>
    <w:next w:val="1039"/>
    <w:link w:val="884"/>
    <w:uiPriority w:val="11"/>
    <w:qFormat/>
    <w:pPr>
      <w:spacing w:before="200" w:after="200"/>
    </w:pPr>
    <w:rPr>
      <w:sz w:val="24"/>
      <w:szCs w:val="24"/>
    </w:rPr>
  </w:style>
  <w:style w:type="character" w:styleId="884">
    <w:name w:val="Subtitle Char"/>
    <w:link w:val="883"/>
    <w:uiPriority w:val="11"/>
    <w:rPr>
      <w:sz w:val="24"/>
      <w:szCs w:val="24"/>
    </w:rPr>
  </w:style>
  <w:style w:type="paragraph" w:styleId="885">
    <w:name w:val="Quote"/>
    <w:basedOn w:val="1039"/>
    <w:next w:val="1039"/>
    <w:link w:val="886"/>
    <w:uiPriority w:val="29"/>
    <w:qFormat/>
    <w:pPr>
      <w:ind w:left="720" w:right="720"/>
    </w:pPr>
    <w:rPr>
      <w:i/>
    </w:rPr>
  </w:style>
  <w:style w:type="character" w:styleId="886">
    <w:name w:val="Quote Char"/>
    <w:link w:val="885"/>
    <w:uiPriority w:val="29"/>
    <w:rPr>
      <w:i/>
    </w:rPr>
  </w:style>
  <w:style w:type="paragraph" w:styleId="887">
    <w:name w:val="Intense Quote"/>
    <w:basedOn w:val="1039"/>
    <w:next w:val="1039"/>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paragraph" w:styleId="889">
    <w:name w:val="Header"/>
    <w:basedOn w:val="1039"/>
    <w:link w:val="890"/>
    <w:uiPriority w:val="99"/>
    <w:unhideWhenUsed/>
    <w:pPr>
      <w:spacing w:after="0" w:line="240" w:lineRule="auto"/>
      <w:tabs>
        <w:tab w:val="center" w:pos="7143" w:leader="none"/>
        <w:tab w:val="right" w:pos="14287" w:leader="none"/>
      </w:tabs>
    </w:pPr>
  </w:style>
  <w:style w:type="character" w:styleId="890">
    <w:name w:val="Header Char"/>
    <w:link w:val="889"/>
    <w:uiPriority w:val="99"/>
  </w:style>
  <w:style w:type="paragraph" w:styleId="891">
    <w:name w:val="Footer"/>
    <w:basedOn w:val="1039"/>
    <w:link w:val="894"/>
    <w:uiPriority w:val="99"/>
    <w:unhideWhenUsed/>
    <w:pPr>
      <w:spacing w:after="0" w:line="240" w:lineRule="auto"/>
      <w:tabs>
        <w:tab w:val="center" w:pos="7143" w:leader="none"/>
        <w:tab w:val="right" w:pos="14287" w:leader="none"/>
      </w:tabs>
    </w:pPr>
  </w:style>
  <w:style w:type="character" w:styleId="892">
    <w:name w:val="Footer Char"/>
    <w:link w:val="891"/>
    <w:uiPriority w:val="99"/>
  </w:style>
  <w:style w:type="paragraph" w:styleId="893">
    <w:name w:val="Caption"/>
    <w:basedOn w:val="1039"/>
    <w:next w:val="1039"/>
    <w:uiPriority w:val="35"/>
    <w:semiHidden/>
    <w:unhideWhenUsed/>
    <w:qFormat/>
    <w:pPr>
      <w:spacing w:line="276" w:lineRule="auto"/>
    </w:pPr>
    <w:rPr>
      <w:b/>
      <w:bCs/>
      <w:color w:val="4f81bd" w:themeColor="accent1"/>
      <w:sz w:val="18"/>
      <w:szCs w:val="18"/>
    </w:rPr>
  </w:style>
  <w:style w:type="character" w:styleId="894">
    <w:name w:val="Caption Char"/>
    <w:basedOn w:val="893"/>
    <w:link w:val="891"/>
    <w:uiPriority w:val="99"/>
  </w:style>
  <w:style w:type="table" w:styleId="8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1">
    <w:name w:val="Hyperlink"/>
    <w:uiPriority w:val="99"/>
    <w:unhideWhenUsed/>
    <w:rPr>
      <w:color w:val="0000ff" w:themeColor="hyperlink"/>
      <w:u w:val="single"/>
    </w:rPr>
  </w:style>
  <w:style w:type="paragraph" w:styleId="1022">
    <w:name w:val="footnote text"/>
    <w:basedOn w:val="1039"/>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uiPriority w:val="99"/>
    <w:unhideWhenUsed/>
    <w:rPr>
      <w:vertAlign w:val="superscript"/>
    </w:rPr>
  </w:style>
  <w:style w:type="paragraph" w:styleId="1025">
    <w:name w:val="endnote text"/>
    <w:basedOn w:val="1039"/>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uiPriority w:val="99"/>
    <w:semiHidden/>
    <w:unhideWhenUsed/>
    <w:rPr>
      <w:vertAlign w:val="superscript"/>
    </w:rPr>
  </w:style>
  <w:style w:type="paragraph" w:styleId="1028">
    <w:name w:val="toc 1"/>
    <w:basedOn w:val="1039"/>
    <w:next w:val="1039"/>
    <w:uiPriority w:val="39"/>
    <w:unhideWhenUsed/>
    <w:pPr>
      <w:ind w:left="0" w:right="0" w:firstLine="0"/>
      <w:spacing w:after="57"/>
    </w:pPr>
  </w:style>
  <w:style w:type="paragraph" w:styleId="1029">
    <w:name w:val="toc 2"/>
    <w:basedOn w:val="1039"/>
    <w:next w:val="1039"/>
    <w:uiPriority w:val="39"/>
    <w:unhideWhenUsed/>
    <w:pPr>
      <w:ind w:left="283" w:right="0" w:firstLine="0"/>
      <w:spacing w:after="57"/>
    </w:pPr>
  </w:style>
  <w:style w:type="paragraph" w:styleId="1030">
    <w:name w:val="toc 3"/>
    <w:basedOn w:val="1039"/>
    <w:next w:val="1039"/>
    <w:uiPriority w:val="39"/>
    <w:unhideWhenUsed/>
    <w:pPr>
      <w:ind w:left="567" w:right="0" w:firstLine="0"/>
      <w:spacing w:after="57"/>
    </w:pPr>
  </w:style>
  <w:style w:type="paragraph" w:styleId="1031">
    <w:name w:val="toc 4"/>
    <w:basedOn w:val="1039"/>
    <w:next w:val="1039"/>
    <w:uiPriority w:val="39"/>
    <w:unhideWhenUsed/>
    <w:pPr>
      <w:ind w:left="850" w:right="0" w:firstLine="0"/>
      <w:spacing w:after="57"/>
    </w:pPr>
  </w:style>
  <w:style w:type="paragraph" w:styleId="1032">
    <w:name w:val="toc 5"/>
    <w:basedOn w:val="1039"/>
    <w:next w:val="1039"/>
    <w:uiPriority w:val="39"/>
    <w:unhideWhenUsed/>
    <w:pPr>
      <w:ind w:left="1134" w:right="0" w:firstLine="0"/>
      <w:spacing w:after="57"/>
    </w:pPr>
  </w:style>
  <w:style w:type="paragraph" w:styleId="1033">
    <w:name w:val="toc 6"/>
    <w:basedOn w:val="1039"/>
    <w:next w:val="1039"/>
    <w:uiPriority w:val="39"/>
    <w:unhideWhenUsed/>
    <w:pPr>
      <w:ind w:left="1417" w:right="0" w:firstLine="0"/>
      <w:spacing w:after="57"/>
    </w:pPr>
  </w:style>
  <w:style w:type="paragraph" w:styleId="1034">
    <w:name w:val="toc 7"/>
    <w:basedOn w:val="1039"/>
    <w:next w:val="1039"/>
    <w:uiPriority w:val="39"/>
    <w:unhideWhenUsed/>
    <w:pPr>
      <w:ind w:left="1701" w:right="0" w:firstLine="0"/>
      <w:spacing w:after="57"/>
    </w:pPr>
  </w:style>
  <w:style w:type="paragraph" w:styleId="1035">
    <w:name w:val="toc 8"/>
    <w:basedOn w:val="1039"/>
    <w:next w:val="1039"/>
    <w:uiPriority w:val="39"/>
    <w:unhideWhenUsed/>
    <w:pPr>
      <w:ind w:left="1984" w:right="0" w:firstLine="0"/>
      <w:spacing w:after="57"/>
    </w:pPr>
  </w:style>
  <w:style w:type="paragraph" w:styleId="1036">
    <w:name w:val="toc 9"/>
    <w:basedOn w:val="1039"/>
    <w:next w:val="1039"/>
    <w:uiPriority w:val="39"/>
    <w:unhideWhenUsed/>
    <w:pPr>
      <w:ind w:left="2268" w:right="0" w:firstLine="0"/>
      <w:spacing w:after="57"/>
    </w:p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39"/>
    <w:link w:val="1039"/>
    <w:qFormat/>
    <w:pPr>
      <w:jc w:val="both"/>
      <w:widowControl w:val="off"/>
    </w:pPr>
    <w:rPr>
      <w:sz w:val="21"/>
      <w:szCs w:val="24"/>
      <w:lang w:val="en-US" w:eastAsia="zh-CN" w:bidi="ar-SA"/>
    </w:rPr>
  </w:style>
  <w:style w:type="paragraph" w:styleId="1040">
    <w:name w:val="标题 1"/>
    <w:basedOn w:val="1039"/>
    <w:next w:val="1039"/>
    <w:link w:val="1051"/>
    <w:qFormat/>
    <w:pPr>
      <w:jc w:val="center"/>
      <w:keepLines/>
      <w:keepNext/>
      <w:spacing w:before="240" w:after="120" w:line="300" w:lineRule="auto"/>
      <w:outlineLvl w:val="0"/>
    </w:pPr>
    <w:rPr>
      <w:rFonts w:ascii="宋体"/>
      <w:b/>
      <w:sz w:val="32"/>
      <w:szCs w:val="20"/>
    </w:rPr>
  </w:style>
  <w:style w:type="paragraph" w:styleId="1041">
    <w:name w:val="标题 2"/>
    <w:basedOn w:val="1039"/>
    <w:next w:val="1039"/>
    <w:link w:val="1052"/>
    <w:qFormat/>
    <w:pPr>
      <w:jc w:val="center"/>
      <w:keepLines/>
      <w:keepNext/>
      <w:spacing w:before="120" w:line="300" w:lineRule="auto"/>
      <w:outlineLvl w:val="1"/>
    </w:pPr>
    <w:rPr>
      <w:rFonts w:ascii="Arial" w:hAnsi="Arial" w:eastAsia="黑体"/>
      <w:b/>
      <w:sz w:val="30"/>
      <w:szCs w:val="20"/>
    </w:rPr>
  </w:style>
  <w:style w:type="paragraph" w:styleId="1042">
    <w:name w:val="标题 3"/>
    <w:basedOn w:val="1039"/>
    <w:next w:val="1039"/>
    <w:link w:val="1053"/>
    <w:qFormat/>
    <w:pPr>
      <w:jc w:val="left"/>
      <w:keepLines/>
      <w:keepNext/>
      <w:spacing w:before="360" w:after="120"/>
      <w:outlineLvl w:val="2"/>
    </w:pPr>
    <w:rPr>
      <w:rFonts w:ascii="宋体"/>
      <w:b/>
      <w:sz w:val="24"/>
      <w:szCs w:val="20"/>
      <w:u w:val="single"/>
    </w:rPr>
  </w:style>
  <w:style w:type="paragraph" w:styleId="1043">
    <w:name w:val="标题 4"/>
    <w:basedOn w:val="1039"/>
    <w:next w:val="1039"/>
    <w:link w:val="1054"/>
    <w:qFormat/>
    <w:pPr>
      <w:keepLines/>
      <w:keepNext/>
      <w:spacing w:before="280" w:after="290" w:line="376" w:lineRule="atLeast"/>
      <w:outlineLvl w:val="3"/>
    </w:pPr>
    <w:rPr>
      <w:rFonts w:ascii="Arial" w:hAnsi="Arial" w:eastAsia="黑体"/>
      <w:b/>
      <w:sz w:val="28"/>
      <w:szCs w:val="20"/>
    </w:rPr>
  </w:style>
  <w:style w:type="paragraph" w:styleId="1044">
    <w:name w:val="标题 5"/>
    <w:basedOn w:val="1039"/>
    <w:next w:val="1039"/>
    <w:link w:val="1055"/>
    <w:qFormat/>
    <w:pPr>
      <w:keepLines/>
      <w:keepNext/>
      <w:spacing w:before="280" w:after="290" w:line="376" w:lineRule="atLeast"/>
      <w:outlineLvl w:val="4"/>
    </w:pPr>
    <w:rPr>
      <w:b/>
      <w:sz w:val="28"/>
      <w:szCs w:val="20"/>
    </w:rPr>
  </w:style>
  <w:style w:type="paragraph" w:styleId="1045">
    <w:name w:val="标题 6"/>
    <w:basedOn w:val="1039"/>
    <w:next w:val="1039"/>
    <w:link w:val="1056"/>
    <w:qFormat/>
    <w:pPr>
      <w:keepLines/>
      <w:keepNext/>
      <w:spacing w:before="240" w:after="64" w:line="320" w:lineRule="atLeast"/>
      <w:outlineLvl w:val="5"/>
    </w:pPr>
    <w:rPr>
      <w:rFonts w:ascii="Arial" w:hAnsi="Arial" w:eastAsia="黑体"/>
      <w:b/>
      <w:sz w:val="24"/>
      <w:szCs w:val="20"/>
    </w:rPr>
  </w:style>
  <w:style w:type="paragraph" w:styleId="1046">
    <w:name w:val="标题 7"/>
    <w:basedOn w:val="1039"/>
    <w:next w:val="1039"/>
    <w:link w:val="1057"/>
    <w:qFormat/>
    <w:pPr>
      <w:keepLines/>
      <w:keepNext/>
      <w:spacing w:before="240" w:after="64" w:line="320" w:lineRule="atLeast"/>
      <w:outlineLvl w:val="6"/>
    </w:pPr>
    <w:rPr>
      <w:b/>
      <w:sz w:val="24"/>
      <w:szCs w:val="20"/>
    </w:rPr>
  </w:style>
  <w:style w:type="paragraph" w:styleId="1047">
    <w:name w:val="标题 8"/>
    <w:basedOn w:val="1039"/>
    <w:next w:val="1039"/>
    <w:link w:val="1058"/>
    <w:qFormat/>
    <w:pPr>
      <w:keepLines/>
      <w:keepNext/>
      <w:spacing w:before="240" w:after="64" w:line="320" w:lineRule="atLeast"/>
      <w:outlineLvl w:val="7"/>
    </w:pPr>
    <w:rPr>
      <w:rFonts w:ascii="Arial" w:hAnsi="Arial" w:eastAsia="黑体"/>
      <w:sz w:val="24"/>
      <w:szCs w:val="20"/>
    </w:rPr>
  </w:style>
  <w:style w:type="paragraph" w:styleId="1048">
    <w:name w:val="标题 9"/>
    <w:basedOn w:val="1039"/>
    <w:next w:val="1039"/>
    <w:link w:val="1059"/>
    <w:qFormat/>
    <w:pPr>
      <w:keepLines/>
      <w:keepNext/>
      <w:spacing w:before="240" w:after="64" w:line="320" w:lineRule="atLeast"/>
      <w:outlineLvl w:val="8"/>
    </w:pPr>
    <w:rPr>
      <w:rFonts w:ascii="Arial" w:hAnsi="Arial" w:eastAsia="黑体"/>
      <w:szCs w:val="20"/>
    </w:rPr>
  </w:style>
  <w:style w:type="character" w:styleId="1049">
    <w:name w:val="默认段落字体"/>
    <w:next w:val="1049"/>
    <w:link w:val="1039"/>
    <w:uiPriority w:val="1"/>
    <w:unhideWhenUsed/>
    <w:qFormat/>
  </w:style>
  <w:style w:type="table" w:styleId="1050">
    <w:name w:val="普通表格"/>
    <w:next w:val="1050"/>
    <w:link w:val="1039"/>
    <w:uiPriority w:val="99"/>
    <w:unhideWhenUsed/>
    <w:qFormat/>
    <w:tblPr/>
  </w:style>
  <w:style w:type="character" w:styleId="1051">
    <w:name w:val="标题 1 Char"/>
    <w:next w:val="1051"/>
    <w:link w:val="1040"/>
    <w:qFormat/>
    <w:rPr>
      <w:rFonts w:ascii="宋体"/>
      <w:b/>
      <w:sz w:val="32"/>
    </w:rPr>
  </w:style>
  <w:style w:type="character" w:styleId="1052">
    <w:name w:val="标题 2 Char1"/>
    <w:next w:val="1052"/>
    <w:link w:val="1041"/>
    <w:qFormat/>
    <w:rPr>
      <w:rFonts w:ascii="Arial" w:hAnsi="Arial" w:eastAsia="黑体"/>
      <w:b/>
      <w:sz w:val="30"/>
      <w:lang w:val="en-US" w:eastAsia="zh-CN" w:bidi="ar-SA"/>
    </w:rPr>
  </w:style>
  <w:style w:type="character" w:styleId="1053">
    <w:name w:val="标题 3 Char1"/>
    <w:next w:val="1053"/>
    <w:link w:val="1042"/>
    <w:qFormat/>
    <w:rPr>
      <w:rFonts w:ascii="宋体" w:eastAsia="宋体"/>
      <w:b/>
      <w:sz w:val="24"/>
      <w:u w:val="single"/>
      <w:lang w:val="en-US" w:eastAsia="zh-CN" w:bidi="ar-SA"/>
    </w:rPr>
  </w:style>
  <w:style w:type="character" w:styleId="1054">
    <w:name w:val="标题 4 Char"/>
    <w:next w:val="1054"/>
    <w:link w:val="1043"/>
    <w:qFormat/>
    <w:rPr>
      <w:rFonts w:ascii="Arial" w:hAnsi="Arial" w:eastAsia="黑体"/>
      <w:b/>
      <w:sz w:val="28"/>
    </w:rPr>
  </w:style>
  <w:style w:type="character" w:styleId="1055">
    <w:name w:val="标题 5 Char"/>
    <w:next w:val="1055"/>
    <w:link w:val="1044"/>
    <w:qFormat/>
    <w:rPr>
      <w:b/>
      <w:sz w:val="28"/>
    </w:rPr>
  </w:style>
  <w:style w:type="character" w:styleId="1056">
    <w:name w:val="标题 6 Char"/>
    <w:next w:val="1056"/>
    <w:link w:val="1045"/>
    <w:qFormat/>
    <w:rPr>
      <w:rFonts w:ascii="Arial" w:hAnsi="Arial" w:eastAsia="黑体"/>
      <w:b/>
      <w:sz w:val="24"/>
    </w:rPr>
  </w:style>
  <w:style w:type="character" w:styleId="1057">
    <w:name w:val="标题 7 Char"/>
    <w:next w:val="1057"/>
    <w:link w:val="1046"/>
    <w:qFormat/>
    <w:rPr>
      <w:b/>
      <w:sz w:val="24"/>
    </w:rPr>
  </w:style>
  <w:style w:type="character" w:styleId="1058">
    <w:name w:val="标题 8 Char"/>
    <w:next w:val="1058"/>
    <w:link w:val="1047"/>
    <w:qFormat/>
    <w:rPr>
      <w:rFonts w:ascii="Arial" w:hAnsi="Arial" w:eastAsia="黑体"/>
      <w:sz w:val="24"/>
    </w:rPr>
  </w:style>
  <w:style w:type="character" w:styleId="1059">
    <w:name w:val="标题 9 Char"/>
    <w:next w:val="1059"/>
    <w:link w:val="1048"/>
    <w:qFormat/>
    <w:rPr>
      <w:rFonts w:ascii="Arial" w:hAnsi="Arial" w:eastAsia="黑体"/>
      <w:sz w:val="21"/>
    </w:rPr>
  </w:style>
  <w:style w:type="paragraph" w:styleId="1060">
    <w:name w:val="目录 7"/>
    <w:basedOn w:val="1039"/>
    <w:next w:val="1039"/>
    <w:link w:val="1039"/>
    <w:qFormat/>
    <w:pPr>
      <w:ind w:left="2520"/>
    </w:pPr>
  </w:style>
  <w:style w:type="paragraph" w:styleId="1061">
    <w:name w:val="正文缩进"/>
    <w:basedOn w:val="1039"/>
    <w:next w:val="1061"/>
    <w:link w:val="1062"/>
    <w:qFormat/>
    <w:pPr>
      <w:ind w:firstLine="420"/>
      <w:jc w:val="left"/>
    </w:pPr>
    <w:rPr>
      <w:rFonts w:ascii="宋体"/>
      <w:sz w:val="24"/>
    </w:rPr>
  </w:style>
  <w:style w:type="character" w:styleId="1062">
    <w:name w:val="正文缩进 Char1"/>
    <w:next w:val="1062"/>
    <w:link w:val="1061"/>
    <w:qFormat/>
    <w:rPr>
      <w:rFonts w:ascii="宋体" w:eastAsia="宋体"/>
      <w:sz w:val="24"/>
      <w:szCs w:val="24"/>
      <w:lang w:val="en-US" w:eastAsia="zh-CN" w:bidi="ar-SA"/>
    </w:rPr>
  </w:style>
  <w:style w:type="paragraph" w:styleId="1063">
    <w:name w:val="题注"/>
    <w:basedOn w:val="1039"/>
    <w:next w:val="1039"/>
    <w:link w:val="1039"/>
    <w:qFormat/>
    <w:pPr>
      <w:spacing w:line="480" w:lineRule="auto"/>
    </w:pPr>
    <w:rPr>
      <w:rFonts w:ascii="华文中宋" w:hAnsi="华文中宋" w:eastAsia="华文中宋"/>
      <w:sz w:val="36"/>
      <w:szCs w:val="20"/>
    </w:rPr>
  </w:style>
  <w:style w:type="paragraph" w:styleId="1064">
    <w:name w:val="文档结构图"/>
    <w:basedOn w:val="1039"/>
    <w:next w:val="1064"/>
    <w:link w:val="1065"/>
    <w:qFormat/>
    <w:pPr>
      <w:shd w:val="clear" w:color="auto" w:fill="000080"/>
    </w:pPr>
  </w:style>
  <w:style w:type="character" w:styleId="1065">
    <w:name w:val="文档结构图 Char"/>
    <w:next w:val="1065"/>
    <w:link w:val="1064"/>
    <w:qFormat/>
    <w:rPr>
      <w:sz w:val="21"/>
      <w:szCs w:val="24"/>
      <w:shd w:val="clear" w:color="auto" w:fill="000080"/>
    </w:rPr>
  </w:style>
  <w:style w:type="paragraph" w:styleId="1066">
    <w:name w:val="批注文字"/>
    <w:basedOn w:val="1039"/>
    <w:next w:val="1066"/>
    <w:link w:val="1067"/>
    <w:uiPriority w:val="99"/>
    <w:qFormat/>
    <w:pPr>
      <w:jc w:val="left"/>
    </w:pPr>
  </w:style>
  <w:style w:type="character" w:styleId="1067">
    <w:name w:val="批注文字 Char1"/>
    <w:next w:val="1067"/>
    <w:link w:val="1066"/>
    <w:uiPriority w:val="99"/>
    <w:qFormat/>
    <w:rPr>
      <w:sz w:val="21"/>
      <w:szCs w:val="24"/>
    </w:rPr>
  </w:style>
  <w:style w:type="paragraph" w:styleId="1068">
    <w:name w:val="正文文本 3"/>
    <w:basedOn w:val="1039"/>
    <w:next w:val="1068"/>
    <w:link w:val="1069"/>
    <w:qFormat/>
    <w:pPr>
      <w:spacing w:after="120"/>
    </w:pPr>
    <w:rPr>
      <w:sz w:val="16"/>
      <w:szCs w:val="16"/>
    </w:rPr>
  </w:style>
  <w:style w:type="character" w:styleId="1069">
    <w:name w:val="正文文本 3 Char"/>
    <w:next w:val="1069"/>
    <w:link w:val="1068"/>
    <w:qFormat/>
    <w:rPr>
      <w:sz w:val="16"/>
      <w:szCs w:val="16"/>
    </w:rPr>
  </w:style>
  <w:style w:type="paragraph" w:styleId="1070">
    <w:name w:val="正文文本"/>
    <w:basedOn w:val="1039"/>
    <w:next w:val="1039"/>
    <w:link w:val="1071"/>
    <w:qFormat/>
    <w:pPr>
      <w:spacing w:before="120" w:line="22" w:lineRule="atLeast"/>
      <w:tabs>
        <w:tab w:val="left" w:pos="567" w:leader="none"/>
      </w:tabs>
    </w:pPr>
    <w:rPr>
      <w:rFonts w:ascii="宋体" w:hAnsi="宋体"/>
      <w:sz w:val="24"/>
    </w:rPr>
  </w:style>
  <w:style w:type="character" w:styleId="1071">
    <w:name w:val="正文文本 Char"/>
    <w:next w:val="1071"/>
    <w:link w:val="1070"/>
    <w:qFormat/>
    <w:rPr>
      <w:rFonts w:ascii="宋体" w:hAnsi="宋体"/>
      <w:sz w:val="24"/>
      <w:szCs w:val="24"/>
    </w:rPr>
  </w:style>
  <w:style w:type="paragraph" w:styleId="1072">
    <w:name w:val="正文文本缩进"/>
    <w:basedOn w:val="1039"/>
    <w:next w:val="1072"/>
    <w:link w:val="1073"/>
    <w:qFormat/>
    <w:pPr>
      <w:ind w:firstLine="570"/>
      <w:spacing w:line="360" w:lineRule="auto"/>
    </w:pPr>
    <w:rPr>
      <w:sz w:val="24"/>
    </w:rPr>
  </w:style>
  <w:style w:type="character" w:styleId="1073">
    <w:name w:val="正文文本缩进 Char2"/>
    <w:next w:val="1073"/>
    <w:link w:val="1072"/>
    <w:qFormat/>
    <w:rPr>
      <w:rFonts w:eastAsia="宋体"/>
      <w:sz w:val="24"/>
      <w:szCs w:val="24"/>
      <w:lang w:val="en-US" w:eastAsia="zh-CN" w:bidi="ar-SA"/>
    </w:rPr>
  </w:style>
  <w:style w:type="paragraph" w:styleId="1074">
    <w:name w:val="列表 2"/>
    <w:basedOn w:val="1039"/>
    <w:next w:val="1074"/>
    <w:link w:val="1039"/>
    <w:qFormat/>
    <w:pPr>
      <w:ind w:left="100" w:hanging="200"/>
    </w:pPr>
  </w:style>
  <w:style w:type="paragraph" w:styleId="1075">
    <w:name w:val="文本块"/>
    <w:basedOn w:val="1039"/>
    <w:next w:val="1075"/>
    <w:link w:val="1039"/>
    <w:qFormat/>
    <w:pPr>
      <w:ind w:left="480" w:right="-341" w:firstLine="513"/>
      <w:widowControl/>
    </w:pPr>
    <w:rPr>
      <w:sz w:val="24"/>
      <w:szCs w:val="20"/>
    </w:rPr>
  </w:style>
  <w:style w:type="paragraph" w:styleId="1076">
    <w:name w:val="目录 5"/>
    <w:basedOn w:val="1039"/>
    <w:next w:val="1039"/>
    <w:link w:val="1039"/>
    <w:qFormat/>
    <w:pPr>
      <w:ind w:left="1680"/>
    </w:pPr>
  </w:style>
  <w:style w:type="paragraph" w:styleId="1077">
    <w:name w:val="目录 3"/>
    <w:basedOn w:val="1039"/>
    <w:next w:val="1039"/>
    <w:link w:val="1039"/>
    <w:uiPriority w:val="39"/>
    <w:qFormat/>
    <w:pPr>
      <w:ind w:left="840"/>
    </w:pPr>
  </w:style>
  <w:style w:type="paragraph" w:styleId="1078">
    <w:name w:val="纯文本"/>
    <w:basedOn w:val="1039"/>
    <w:next w:val="1078"/>
    <w:link w:val="1079"/>
    <w:qFormat/>
    <w:rPr>
      <w:rFonts w:hint="eastAsia" w:ascii="宋体" w:hAnsi="Courier New"/>
      <w:szCs w:val="20"/>
    </w:rPr>
  </w:style>
  <w:style w:type="character" w:styleId="1079">
    <w:name w:val="纯文本 Char"/>
    <w:next w:val="1079"/>
    <w:link w:val="1078"/>
    <w:qFormat/>
    <w:rPr>
      <w:rFonts w:hint="eastAsia" w:ascii="宋体" w:hAnsi="Courier New" w:eastAsia="宋体" w:cs="宋体"/>
      <w:sz w:val="21"/>
    </w:rPr>
  </w:style>
  <w:style w:type="paragraph" w:styleId="1080">
    <w:name w:val="目录 8"/>
    <w:basedOn w:val="1039"/>
    <w:next w:val="1039"/>
    <w:link w:val="1039"/>
    <w:qFormat/>
    <w:pPr>
      <w:ind w:left="2940"/>
    </w:pPr>
  </w:style>
  <w:style w:type="paragraph" w:styleId="1081">
    <w:name w:val="日期"/>
    <w:basedOn w:val="1039"/>
    <w:next w:val="1039"/>
    <w:link w:val="1082"/>
    <w:qFormat/>
    <w:pPr>
      <w:ind w:left="100"/>
    </w:pPr>
    <w:rPr>
      <w:rFonts w:ascii="仿宋_GB2312" w:hAnsi="宋体" w:eastAsia="仿宋_GB2312"/>
      <w:color w:val="000000"/>
      <w:sz w:val="24"/>
    </w:rPr>
  </w:style>
  <w:style w:type="character" w:styleId="1082">
    <w:name w:val="日期 Char"/>
    <w:next w:val="1082"/>
    <w:link w:val="1081"/>
    <w:qFormat/>
    <w:rPr>
      <w:rFonts w:ascii="仿宋_GB2312" w:hAnsi="宋体" w:eastAsia="仿宋_GB2312"/>
      <w:color w:val="000000"/>
      <w:sz w:val="24"/>
      <w:szCs w:val="24"/>
    </w:rPr>
  </w:style>
  <w:style w:type="paragraph" w:styleId="1083">
    <w:name w:val="正文文本缩进 2"/>
    <w:basedOn w:val="1039"/>
    <w:next w:val="1083"/>
    <w:link w:val="1084"/>
    <w:qFormat/>
    <w:pPr>
      <w:ind w:firstLine="480"/>
    </w:pPr>
    <w:rPr>
      <w:rFonts w:ascii="仿宋_GB2312" w:eastAsia="仿宋_GB2312"/>
      <w:sz w:val="24"/>
    </w:rPr>
  </w:style>
  <w:style w:type="character" w:styleId="1084">
    <w:name w:val="正文文本缩进 2 Char"/>
    <w:next w:val="1084"/>
    <w:link w:val="1083"/>
    <w:qFormat/>
    <w:rPr>
      <w:rFonts w:ascii="仿宋_GB2312" w:eastAsia="仿宋_GB2312"/>
      <w:sz w:val="24"/>
      <w:szCs w:val="24"/>
    </w:rPr>
  </w:style>
  <w:style w:type="paragraph" w:styleId="1085">
    <w:name w:val="批注框文本"/>
    <w:basedOn w:val="1039"/>
    <w:next w:val="1085"/>
    <w:link w:val="1086"/>
    <w:qFormat/>
    <w:rPr>
      <w:sz w:val="18"/>
      <w:szCs w:val="18"/>
    </w:rPr>
  </w:style>
  <w:style w:type="character" w:styleId="1086">
    <w:name w:val="批注框文本 Char"/>
    <w:next w:val="1086"/>
    <w:link w:val="1085"/>
    <w:qFormat/>
    <w:rPr>
      <w:sz w:val="18"/>
      <w:szCs w:val="18"/>
    </w:rPr>
  </w:style>
  <w:style w:type="paragraph" w:styleId="1087">
    <w:name w:val="页脚"/>
    <w:basedOn w:val="1039"/>
    <w:next w:val="1087"/>
    <w:link w:val="1088"/>
    <w:uiPriority w:val="99"/>
    <w:qFormat/>
    <w:pPr>
      <w:jc w:val="left"/>
      <w:tabs>
        <w:tab w:val="center" w:pos="4153" w:leader="none"/>
        <w:tab w:val="right" w:pos="8306" w:leader="none"/>
      </w:tabs>
    </w:pPr>
    <w:rPr>
      <w:rFonts w:ascii="宋体"/>
      <w:sz w:val="18"/>
      <w:szCs w:val="20"/>
    </w:rPr>
  </w:style>
  <w:style w:type="character" w:styleId="1088">
    <w:name w:val="页脚 Char1"/>
    <w:next w:val="1088"/>
    <w:link w:val="1087"/>
    <w:uiPriority w:val="99"/>
    <w:qFormat/>
    <w:rPr>
      <w:rFonts w:ascii="宋体" w:eastAsia="宋体"/>
      <w:sz w:val="18"/>
      <w:lang w:val="en-US" w:eastAsia="zh-CN" w:bidi="ar-SA"/>
    </w:rPr>
  </w:style>
  <w:style w:type="paragraph" w:styleId="1089">
    <w:name w:val="页眉"/>
    <w:basedOn w:val="1039"/>
    <w:next w:val="1089"/>
    <w:link w:val="1090"/>
    <w:qFormat/>
    <w:pPr>
      <w:jc w:val="center"/>
      <w:tabs>
        <w:tab w:val="center" w:pos="4153" w:leader="none"/>
        <w:tab w:val="right" w:pos="8306" w:leader="none"/>
      </w:tabs>
      <w:pBdr>
        <w:bottom w:val="single" w:color="000000" w:sz="6" w:space="1"/>
      </w:pBdr>
    </w:pPr>
    <w:rPr>
      <w:sz w:val="18"/>
      <w:szCs w:val="18"/>
    </w:rPr>
  </w:style>
  <w:style w:type="character" w:styleId="1090">
    <w:name w:val="页眉 Char1"/>
    <w:next w:val="1090"/>
    <w:link w:val="1089"/>
    <w:qFormat/>
    <w:rPr>
      <w:rFonts w:eastAsia="宋体"/>
      <w:sz w:val="18"/>
      <w:szCs w:val="18"/>
      <w:lang w:val="en-US" w:eastAsia="zh-CN" w:bidi="ar-SA"/>
    </w:rPr>
  </w:style>
  <w:style w:type="paragraph" w:styleId="1091">
    <w:name w:val="目录 1"/>
    <w:basedOn w:val="1039"/>
    <w:next w:val="1039"/>
    <w:link w:val="1039"/>
    <w:uiPriority w:val="39"/>
    <w:qFormat/>
    <w:pPr>
      <w:spacing w:line="300" w:lineRule="auto"/>
      <w:tabs>
        <w:tab w:val="left" w:pos="1050" w:leader="none"/>
        <w:tab w:val="right" w:pos="8937" w:leader="dot"/>
      </w:tabs>
    </w:pPr>
    <w:rPr>
      <w:rFonts w:ascii="宋体" w:hAnsi="宋体"/>
      <w:b/>
      <w:sz w:val="24"/>
    </w:rPr>
  </w:style>
  <w:style w:type="paragraph" w:styleId="1092">
    <w:name w:val="目录 4"/>
    <w:basedOn w:val="1039"/>
    <w:next w:val="1039"/>
    <w:link w:val="1039"/>
    <w:qFormat/>
    <w:pPr>
      <w:ind w:left="1260"/>
    </w:pPr>
  </w:style>
  <w:style w:type="paragraph" w:styleId="1093">
    <w:name w:val="目录 6"/>
    <w:basedOn w:val="1039"/>
    <w:next w:val="1039"/>
    <w:link w:val="1039"/>
    <w:qFormat/>
    <w:pPr>
      <w:ind w:left="2100"/>
    </w:pPr>
  </w:style>
  <w:style w:type="paragraph" w:styleId="1094">
    <w:name w:val="正文文本缩进 3"/>
    <w:basedOn w:val="1039"/>
    <w:next w:val="1094"/>
    <w:link w:val="1095"/>
    <w:qFormat/>
    <w:pPr>
      <w:ind w:left="720" w:firstLine="480"/>
      <w:jc w:val="left"/>
      <w:spacing w:before="120" w:line="22" w:lineRule="atLeast"/>
    </w:pPr>
    <w:rPr>
      <w:rFonts w:ascii="宋体"/>
      <w:sz w:val="24"/>
      <w:szCs w:val="20"/>
    </w:rPr>
  </w:style>
  <w:style w:type="character" w:styleId="1095">
    <w:name w:val="正文文本缩进 3 Char"/>
    <w:next w:val="1095"/>
    <w:link w:val="1094"/>
    <w:qFormat/>
    <w:rPr>
      <w:rFonts w:ascii="宋体"/>
      <w:sz w:val="24"/>
    </w:rPr>
  </w:style>
  <w:style w:type="paragraph" w:styleId="1096">
    <w:name w:val="目录 2"/>
    <w:basedOn w:val="1039"/>
    <w:next w:val="1039"/>
    <w:link w:val="1039"/>
    <w:uiPriority w:val="39"/>
    <w:qFormat/>
    <w:pPr>
      <w:ind w:left="420"/>
      <w:spacing w:line="312" w:lineRule="auto"/>
      <w:tabs>
        <w:tab w:val="right" w:pos="8937" w:leader="dot"/>
      </w:tabs>
    </w:pPr>
  </w:style>
  <w:style w:type="paragraph" w:styleId="1097">
    <w:name w:val="目录 9"/>
    <w:basedOn w:val="1039"/>
    <w:next w:val="1039"/>
    <w:link w:val="1039"/>
    <w:qFormat/>
    <w:pPr>
      <w:ind w:left="3360"/>
    </w:pPr>
  </w:style>
  <w:style w:type="paragraph" w:styleId="1098">
    <w:name w:val="HTML 预设格式"/>
    <w:basedOn w:val="1039"/>
    <w:next w:val="1098"/>
    <w:link w:val="10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9">
    <w:name w:val="HTML 预设格式 Char"/>
    <w:next w:val="1099"/>
    <w:link w:val="1098"/>
    <w:qFormat/>
    <w:rPr>
      <w:rFonts w:ascii="宋体" w:hAnsi="宋体" w:cs="宋体"/>
      <w:sz w:val="24"/>
      <w:szCs w:val="24"/>
    </w:rPr>
  </w:style>
  <w:style w:type="paragraph" w:styleId="1100">
    <w:name w:val="普通(网站)"/>
    <w:basedOn w:val="1039"/>
    <w:next w:val="1100"/>
    <w:link w:val="1039"/>
    <w:uiPriority w:val="99"/>
    <w:unhideWhenUsed/>
    <w:qFormat/>
    <w:pPr>
      <w:jc w:val="left"/>
      <w:spacing w:before="100" w:beforeAutospacing="1" w:after="100" w:afterAutospacing="1"/>
      <w:widowControl/>
    </w:pPr>
    <w:rPr>
      <w:rFonts w:ascii="宋体" w:hAnsi="宋体" w:cs="宋体"/>
      <w:sz w:val="24"/>
    </w:rPr>
  </w:style>
  <w:style w:type="paragraph" w:styleId="1101">
    <w:name w:val="索引 1"/>
    <w:basedOn w:val="1039"/>
    <w:next w:val="1039"/>
    <w:link w:val="1039"/>
    <w:qFormat/>
    <w:rPr>
      <w:szCs w:val="20"/>
    </w:rPr>
  </w:style>
  <w:style w:type="paragraph" w:styleId="1102">
    <w:name w:val="标题"/>
    <w:basedOn w:val="1039"/>
    <w:next w:val="1102"/>
    <w:link w:val="1103"/>
    <w:qFormat/>
    <w:pPr>
      <w:jc w:val="center"/>
      <w:outlineLvl w:val="0"/>
    </w:pPr>
    <w:rPr>
      <w:b/>
      <w:sz w:val="32"/>
      <w:szCs w:val="20"/>
    </w:rPr>
  </w:style>
  <w:style w:type="character" w:styleId="1103">
    <w:name w:val="标题 Char1"/>
    <w:next w:val="1103"/>
    <w:link w:val="1102"/>
    <w:qFormat/>
    <w:rPr>
      <w:b/>
      <w:sz w:val="32"/>
    </w:rPr>
  </w:style>
  <w:style w:type="paragraph" w:styleId="1104">
    <w:name w:val="批注主题"/>
    <w:basedOn w:val="1066"/>
    <w:next w:val="1066"/>
    <w:link w:val="1105"/>
    <w:qFormat/>
    <w:rPr>
      <w:b/>
      <w:bCs/>
    </w:rPr>
  </w:style>
  <w:style w:type="character" w:styleId="1105">
    <w:name w:val="批注主题 Char"/>
    <w:next w:val="1105"/>
    <w:link w:val="1104"/>
    <w:qFormat/>
    <w:rPr>
      <w:rFonts w:ascii="Times New Roman" w:hAnsi="Times New Roman" w:eastAsia="宋体" w:cs="Times New Roman"/>
      <w:b/>
      <w:bCs/>
      <w:sz w:val="21"/>
      <w:szCs w:val="24"/>
      <w:lang w:val="en-US" w:eastAsia="zh-CN" w:bidi="ar-SA"/>
    </w:rPr>
  </w:style>
  <w:style w:type="paragraph" w:styleId="1106">
    <w:name w:val="正文首行缩进 2"/>
    <w:basedOn w:val="1072"/>
    <w:next w:val="1106"/>
    <w:link w:val="1107"/>
    <w:qFormat/>
    <w:pPr>
      <w:ind w:left="420" w:firstLine="420"/>
      <w:spacing w:after="120" w:line="480" w:lineRule="exact"/>
    </w:pPr>
    <w:rPr>
      <w:szCs w:val="20"/>
    </w:rPr>
  </w:style>
  <w:style w:type="character" w:styleId="1107">
    <w:name w:val="正文首行缩进 2 Char"/>
    <w:next w:val="1107"/>
    <w:link w:val="1106"/>
    <w:qFormat/>
    <w:rPr>
      <w:rFonts w:eastAsia="宋体"/>
      <w:sz w:val="24"/>
      <w:szCs w:val="24"/>
      <w:lang w:val="en-US" w:eastAsia="zh-CN" w:bidi="ar-SA"/>
    </w:rPr>
  </w:style>
  <w:style w:type="table" w:styleId="1108">
    <w:name w:val="网格型"/>
    <w:basedOn w:val="1050"/>
    <w:next w:val="1108"/>
    <w:link w:val="1039"/>
    <w:uiPriority w:val="39"/>
    <w:qFormat/>
    <w:tblPr/>
  </w:style>
  <w:style w:type="table" w:styleId="1109">
    <w:name w:val="中等深浅网格 1 - 强调文字颜色 2"/>
    <w:basedOn w:val="1050"/>
    <w:next w:val="1109"/>
    <w:link w:val="1039"/>
    <w:qFormat/>
    <w:rPr>
      <w:sz w:val="21"/>
      <w:szCs w:val="24"/>
    </w:rPr>
    <w:tblPr/>
  </w:style>
  <w:style w:type="character" w:styleId="1110">
    <w:name w:val="要点"/>
    <w:next w:val="1110"/>
    <w:link w:val="1039"/>
    <w:qFormat/>
    <w:rPr>
      <w:b/>
      <w:bCs/>
    </w:rPr>
  </w:style>
  <w:style w:type="character" w:styleId="1111">
    <w:name w:val="页码"/>
    <w:next w:val="1111"/>
    <w:link w:val="1039"/>
    <w:qFormat/>
  </w:style>
  <w:style w:type="character" w:styleId="1112">
    <w:name w:val="已访问的超链接"/>
    <w:next w:val="1112"/>
    <w:link w:val="1039"/>
    <w:qFormat/>
    <w:rPr>
      <w:color w:val="800080"/>
      <w:u w:val="single"/>
    </w:rPr>
  </w:style>
  <w:style w:type="character" w:styleId="1113">
    <w:name w:val="强调"/>
    <w:next w:val="1113"/>
    <w:link w:val="1039"/>
    <w:qFormat/>
    <w:rPr>
      <w:color w:val="cc0033"/>
    </w:rPr>
  </w:style>
  <w:style w:type="character" w:styleId="1114">
    <w:name w:val="超链接"/>
    <w:next w:val="1114"/>
    <w:link w:val="1039"/>
    <w:uiPriority w:val="99"/>
    <w:qFormat/>
    <w:rPr>
      <w:color w:val="0000ff"/>
      <w:u w:val="single"/>
    </w:rPr>
  </w:style>
  <w:style w:type="character" w:styleId="1115">
    <w:name w:val="批注引用"/>
    <w:next w:val="1115"/>
    <w:link w:val="1039"/>
    <w:uiPriority w:val="99"/>
    <w:qFormat/>
    <w:rPr>
      <w:sz w:val="21"/>
      <w:szCs w:val="21"/>
    </w:rPr>
  </w:style>
  <w:style w:type="character" w:styleId="1116">
    <w:name w:val="HTML 引文"/>
    <w:next w:val="1116"/>
    <w:link w:val="1039"/>
    <w:qFormat/>
    <w:rPr>
      <w:i/>
      <w:iCs/>
    </w:rPr>
  </w:style>
  <w:style w:type="character" w:styleId="1117">
    <w:name w:val="批注文字 字符"/>
    <w:next w:val="1117"/>
    <w:link w:val="1039"/>
    <w:uiPriority w:val="99"/>
    <w:qFormat/>
    <w:rPr>
      <w:rFonts w:ascii="Times New Roman" w:hAnsi="Times New Roman" w:eastAsia="宋体" w:cs="Times New Roman"/>
      <w:sz w:val="24"/>
      <w:lang w:val="en-US" w:eastAsia="zh-CN" w:bidi="ar-SA"/>
    </w:rPr>
  </w:style>
  <w:style w:type="paragraph" w:styleId="1118">
    <w:name w:val="段"/>
    <w:next w:val="1039"/>
    <w:link w:val="1039"/>
    <w:qFormat/>
    <w:pPr>
      <w:ind w:firstLine="200"/>
      <w:jc w:val="both"/>
      <w:spacing w:line="360" w:lineRule="auto"/>
    </w:pPr>
    <w:rPr>
      <w:rFonts w:ascii="宋体"/>
      <w:sz w:val="24"/>
      <w:szCs w:val="22"/>
      <w:lang w:val="en-US" w:eastAsia="zh-CN" w:bidi="ar-SA"/>
    </w:rPr>
  </w:style>
  <w:style w:type="character" w:styleId="1119">
    <w:name w:val="c21"/>
    <w:next w:val="1119"/>
    <w:link w:val="1039"/>
    <w:qFormat/>
    <w:rPr>
      <w:rFonts w:ascii="ˎ̥" w:hAnsi="ˎ̥"/>
      <w:color w:val="000000"/>
      <w:sz w:val="20"/>
      <w:szCs w:val="20"/>
      <w:u w:val="none"/>
    </w:rPr>
  </w:style>
  <w:style w:type="character" w:styleId="1120">
    <w:name w:val="title4"/>
    <w:next w:val="1120"/>
    <w:link w:val="1039"/>
    <w:qFormat/>
    <w:rPr>
      <w:b/>
      <w:bCs/>
      <w:color w:val="1d87b3"/>
      <w:sz w:val="15"/>
      <w:szCs w:val="15"/>
    </w:rPr>
  </w:style>
  <w:style w:type="character" w:styleId="1121">
    <w:name w:val="标题 2 Char Char"/>
    <w:next w:val="1121"/>
    <w:link w:val="1039"/>
    <w:qFormat/>
    <w:rPr>
      <w:rFonts w:ascii="Arial" w:hAnsi="Arial" w:eastAsia="黑体"/>
      <w:b/>
      <w:bCs/>
      <w:sz w:val="32"/>
      <w:szCs w:val="32"/>
      <w:lang w:val="en-US" w:eastAsia="zh-CN" w:bidi="ar-SA"/>
    </w:rPr>
  </w:style>
  <w:style w:type="character" w:styleId="1122">
    <w:name w:val="black1"/>
    <w:next w:val="1122"/>
    <w:link w:val="1039"/>
    <w:qFormat/>
    <w:rPr>
      <w:color w:val="000000"/>
    </w:rPr>
  </w:style>
  <w:style w:type="character" w:styleId="1123">
    <w:name w:val="street-address"/>
    <w:next w:val="1123"/>
    <w:link w:val="1039"/>
    <w:qFormat/>
  </w:style>
  <w:style w:type="character" w:styleId="1124">
    <w:name w:val="locality"/>
    <w:next w:val="1124"/>
    <w:link w:val="1039"/>
    <w:qFormat/>
  </w:style>
  <w:style w:type="character" w:styleId="1125">
    <w:name w:val="正文文本缩进 Char1"/>
    <w:next w:val="1125"/>
    <w:link w:val="1126"/>
    <w:qFormat/>
    <w:rPr>
      <w:rFonts w:ascii="宋体" w:hAnsi="宋体" w:eastAsia="宋体"/>
      <w:sz w:val="24"/>
      <w:szCs w:val="24"/>
      <w:lang w:bidi="ar-SA"/>
    </w:rPr>
  </w:style>
  <w:style w:type="paragraph" w:styleId="1126">
    <w:name w:val="正文文本缩进1"/>
    <w:basedOn w:val="1039"/>
    <w:next w:val="1126"/>
    <w:link w:val="1125"/>
    <w:qFormat/>
    <w:pPr>
      <w:ind w:firstLine="480"/>
      <w:spacing w:line="480" w:lineRule="exact"/>
    </w:pPr>
    <w:rPr>
      <w:rFonts w:ascii="宋体" w:hAnsi="宋体"/>
      <w:sz w:val="24"/>
    </w:rPr>
  </w:style>
  <w:style w:type="character" w:styleId="1127">
    <w:name w:val="Char Char11"/>
    <w:next w:val="1127"/>
    <w:link w:val="1039"/>
    <w:qFormat/>
    <w:rPr>
      <w:rFonts w:ascii="宋体" w:eastAsia="宋体"/>
      <w:b/>
      <w:sz w:val="24"/>
      <w:u w:val="single"/>
      <w:lang w:val="en-US" w:eastAsia="zh-CN" w:bidi="ar-SA"/>
    </w:rPr>
  </w:style>
  <w:style w:type="character" w:styleId="1128">
    <w:name w:val="txt"/>
    <w:next w:val="1128"/>
    <w:link w:val="1039"/>
    <w:qFormat/>
  </w:style>
  <w:style w:type="character" w:styleId="1129">
    <w:name w:val="正文缩进 Char Char"/>
    <w:next w:val="1129"/>
    <w:link w:val="1130"/>
    <w:qFormat/>
    <w:rPr>
      <w:rFonts w:ascii="宋体" w:eastAsia="宋体"/>
      <w:color w:val="000000"/>
      <w:sz w:val="28"/>
      <w:lang w:bidi="ar-SA"/>
    </w:rPr>
  </w:style>
  <w:style w:type="paragraph" w:styleId="1130">
    <w:name w:val="正文缩进1"/>
    <w:basedOn w:val="1039"/>
    <w:next w:val="1130"/>
    <w:link w:val="1129"/>
    <w:qFormat/>
    <w:pPr>
      <w:ind w:firstLine="567"/>
      <w:spacing w:line="480" w:lineRule="exact"/>
      <w:widowControl/>
    </w:pPr>
    <w:rPr>
      <w:rFonts w:ascii="宋体"/>
      <w:color w:val="000000"/>
      <w:sz w:val="28"/>
      <w:szCs w:val="20"/>
    </w:rPr>
  </w:style>
  <w:style w:type="character" w:styleId="1131">
    <w:name w:val="普通文字1 Char1"/>
    <w:next w:val="1131"/>
    <w:link w:val="1039"/>
    <w:qFormat/>
    <w:rPr>
      <w:rFonts w:ascii="宋体" w:hAnsi="Courier New" w:eastAsia="宋体"/>
      <w:sz w:val="21"/>
      <w:lang w:val="en-US" w:eastAsia="zh-CN" w:bidi="ar-SA"/>
    </w:rPr>
  </w:style>
  <w:style w:type="character" w:styleId="1132">
    <w:name w:val="chanpin1"/>
    <w:next w:val="1132"/>
    <w:link w:val="1039"/>
    <w:qFormat/>
    <w:rPr>
      <w:rFonts w:ascii="ˎ̥" w:hAnsi="ˎ̥"/>
      <w:color w:val="000000"/>
      <w:sz w:val="20"/>
      <w:szCs w:val="20"/>
      <w:u w:val="none"/>
    </w:rPr>
  </w:style>
  <w:style w:type="character" w:styleId="1133">
    <w:name w:val="列出段落 Char1"/>
    <w:next w:val="1133"/>
    <w:link w:val="1134"/>
    <w:uiPriority w:val="34"/>
    <w:qFormat/>
    <w:rPr>
      <w:rFonts w:ascii="Calibri" w:hAnsi="Calibri" w:eastAsia="宋体"/>
      <w:sz w:val="21"/>
      <w:szCs w:val="22"/>
      <w:lang w:val="en-US" w:eastAsia="zh-CN" w:bidi="ar-SA"/>
    </w:rPr>
  </w:style>
  <w:style w:type="paragraph" w:styleId="1134">
    <w:name w:val="列出段落"/>
    <w:basedOn w:val="1039"/>
    <w:next w:val="1134"/>
    <w:link w:val="1133"/>
    <w:uiPriority w:val="34"/>
    <w:qFormat/>
    <w:pPr>
      <w:ind w:firstLine="420"/>
    </w:pPr>
    <w:rPr>
      <w:rFonts w:ascii="Calibri" w:hAnsi="Calibri"/>
      <w:szCs w:val="22"/>
    </w:rPr>
  </w:style>
  <w:style w:type="character" w:styleId="1135">
    <w:name w:val="标题 3 Char Char"/>
    <w:next w:val="1135"/>
    <w:link w:val="1039"/>
    <w:qFormat/>
    <w:rPr>
      <w:rFonts w:eastAsia="宋体"/>
      <w:b/>
      <w:bCs/>
      <w:sz w:val="32"/>
      <w:szCs w:val="32"/>
      <w:lang w:val="en-US" w:eastAsia="zh-CN" w:bidi="ar-SA"/>
    </w:rPr>
  </w:style>
  <w:style w:type="character" w:styleId="1136">
    <w:name w:val="段1 Char"/>
    <w:next w:val="1136"/>
    <w:link w:val="1039"/>
    <w:qFormat/>
    <w:rPr>
      <w:rFonts w:ascii="宋体" w:eastAsia="宋体"/>
      <w:sz w:val="24"/>
      <w:lang w:val="en-US" w:eastAsia="zh-CN" w:bidi="ar-SA"/>
    </w:rPr>
  </w:style>
  <w:style w:type="character" w:styleId="1137">
    <w:name w:val="chanpin拷贝"/>
    <w:next w:val="1137"/>
    <w:link w:val="1039"/>
    <w:qFormat/>
  </w:style>
  <w:style w:type="character" w:styleId="1138">
    <w:name w:val="纯文本 Char1"/>
    <w:next w:val="1138"/>
    <w:link w:val="1039"/>
    <w:qFormat/>
    <w:rPr>
      <w:rFonts w:ascii="宋体" w:hAnsi="Courier New" w:eastAsia="宋体"/>
      <w:sz w:val="21"/>
      <w:lang w:val="en-US" w:eastAsia="zh-CN" w:bidi="ar-SA"/>
    </w:rPr>
  </w:style>
  <w:style w:type="character" w:styleId="1139">
    <w:name w:val="apple-style-span"/>
    <w:next w:val="1139"/>
    <w:link w:val="1039"/>
    <w:qFormat/>
    <w:rPr>
      <w:rFonts w:cs="Times New Roman"/>
    </w:rPr>
  </w:style>
  <w:style w:type="paragraph" w:styleId="1140">
    <w:name w:val="二级条标题"/>
    <w:basedOn w:val="1141"/>
    <w:next w:val="1039"/>
    <w:link w:val="1039"/>
    <w:qFormat/>
    <w:pPr>
      <w:numPr>
        <w:ilvl w:val="0"/>
        <w:numId w:val="0"/>
      </w:numPr>
      <w:ind w:hanging="840"/>
      <w:tabs>
        <w:tab w:val="left" w:pos="360" w:leader="none"/>
        <w:tab w:val="left" w:pos="840" w:leader="none"/>
      </w:tabs>
      <w:outlineLvl w:val="2"/>
    </w:pPr>
    <w:rPr>
      <w:rFonts w:ascii="宋体" w:eastAsia="宋体"/>
      <w:b w:val="0"/>
    </w:rPr>
  </w:style>
  <w:style w:type="paragraph" w:styleId="1141">
    <w:name w:val="一级条标题"/>
    <w:basedOn w:val="1142"/>
    <w:next w:val="1039"/>
    <w:link w:val="1039"/>
    <w:qFormat/>
    <w:pPr>
      <w:numPr>
        <w:ilvl w:val="1"/>
      </w:numPr>
      <w:ind w:left="0" w:hanging="840"/>
      <w:tabs>
        <w:tab w:val="left" w:pos="360" w:leader="none"/>
        <w:tab w:val="left" w:pos="840" w:leader="none"/>
      </w:tabs>
      <w:outlineLvl w:val="1"/>
    </w:pPr>
  </w:style>
  <w:style w:type="paragraph" w:styleId="1142">
    <w:name w:val="章标题"/>
    <w:next w:val="1039"/>
    <w:link w:val="103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3">
    <w:name w:val="font7"/>
    <w:basedOn w:val="1039"/>
    <w:next w:val="1143"/>
    <w:link w:val="1039"/>
    <w:qFormat/>
    <w:pPr>
      <w:jc w:val="left"/>
      <w:spacing w:before="100" w:beforeAutospacing="1" w:after="100" w:afterAutospacing="1"/>
      <w:widowControl/>
    </w:pPr>
    <w:rPr>
      <w:rFonts w:eastAsia="Arial Unicode MS"/>
      <w:b/>
      <w:bCs/>
      <w:color w:val="000000"/>
      <w:sz w:val="20"/>
      <w:szCs w:val="20"/>
    </w:rPr>
  </w:style>
  <w:style w:type="paragraph" w:styleId="1144">
    <w:name w:val="字元 字元"/>
    <w:basedOn w:val="1039"/>
    <w:next w:val="1144"/>
    <w:link w:val="1039"/>
    <w:qFormat/>
    <w:rPr>
      <w:rFonts w:ascii="Tahoma" w:hAnsi="Tahoma"/>
      <w:sz w:val="24"/>
      <w:szCs w:val="20"/>
    </w:rPr>
  </w:style>
  <w:style w:type="paragraph" w:styleId="1145">
    <w:name w:val="Char3 Char Char Char"/>
    <w:basedOn w:val="1039"/>
    <w:next w:val="1145"/>
    <w:link w:val="1039"/>
    <w:qFormat/>
    <w:rPr>
      <w:rFonts w:ascii="Tahoma" w:hAnsi="Tahoma"/>
      <w:sz w:val="24"/>
      <w:szCs w:val="20"/>
    </w:rPr>
  </w:style>
  <w:style w:type="paragraph" w:styleId="1146">
    <w:name w:val="font6"/>
    <w:basedOn w:val="1039"/>
    <w:next w:val="1146"/>
    <w:link w:val="1039"/>
    <w:qFormat/>
    <w:pPr>
      <w:jc w:val="left"/>
      <w:spacing w:before="100" w:beforeAutospacing="1" w:after="100" w:afterAutospacing="1"/>
      <w:widowControl/>
    </w:pPr>
    <w:rPr>
      <w:rFonts w:ascii="宋体" w:hAnsi="宋体" w:cs="宋体"/>
      <w:sz w:val="20"/>
      <w:szCs w:val="20"/>
    </w:rPr>
  </w:style>
  <w:style w:type="paragraph" w:styleId="1147">
    <w:name w:val="项目编号2"/>
    <w:basedOn w:val="1148"/>
    <w:next w:val="1147"/>
    <w:link w:val="1039"/>
    <w:qFormat/>
    <w:pPr>
      <w:numPr>
        <w:numId w:val="3"/>
      </w:numPr>
    </w:pPr>
  </w:style>
  <w:style w:type="paragraph" w:styleId="1148">
    <w:name w:val="项目编号1"/>
    <w:basedOn w:val="1039"/>
    <w:next w:val="1148"/>
    <w:link w:val="1039"/>
    <w:qFormat/>
    <w:pPr>
      <w:numPr>
        <w:ilvl w:val="0"/>
        <w:numId w:val="2"/>
      </w:numPr>
      <w:spacing w:before="100" w:beforeAutospacing="1" w:after="100" w:afterAutospacing="1" w:line="360" w:lineRule="auto"/>
    </w:pPr>
    <w:rPr>
      <w:sz w:val="24"/>
    </w:rPr>
  </w:style>
  <w:style w:type="paragraph" w:styleId="1149">
    <w:name w:val="图中文字"/>
    <w:basedOn w:val="1039"/>
    <w:next w:val="1149"/>
    <w:link w:val="1039"/>
    <w:qFormat/>
    <w:pPr>
      <w:jc w:val="center"/>
      <w:spacing w:line="0" w:lineRule="atLeast"/>
    </w:pPr>
    <w:rPr>
      <w:sz w:val="24"/>
      <w:szCs w:val="20"/>
    </w:rPr>
  </w:style>
  <w:style w:type="paragraph" w:styleId="1150">
    <w:name w:val="xl46"/>
    <w:basedOn w:val="1039"/>
    <w:next w:val="1150"/>
    <w:link w:val="103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1">
    <w:name w:val="xl25"/>
    <w:basedOn w:val="1039"/>
    <w:next w:val="1151"/>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Char2"/>
    <w:basedOn w:val="1039"/>
    <w:next w:val="1152"/>
    <w:link w:val="1039"/>
    <w:qFormat/>
    <w:rPr>
      <w:rFonts w:ascii="Tahoma" w:hAnsi="Tahoma"/>
      <w:sz w:val="24"/>
      <w:szCs w:val="20"/>
    </w:rPr>
  </w:style>
  <w:style w:type="paragraph" w:styleId="1153">
    <w:name w:val="xl35"/>
    <w:basedOn w:val="1039"/>
    <w:next w:val="1153"/>
    <w:link w:val="10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name w:val="xl40"/>
    <w:basedOn w:val="1039"/>
    <w:next w:val="1154"/>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xl52"/>
    <w:basedOn w:val="1039"/>
    <w:next w:val="1155"/>
    <w:link w:val="10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6">
    <w:name w:val="xl43"/>
    <w:basedOn w:val="1039"/>
    <w:next w:val="1156"/>
    <w:link w:val="103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7">
    <w:name w:val="background1"/>
    <w:basedOn w:val="1039"/>
    <w:next w:val="1157"/>
    <w:link w:val="1039"/>
    <w:qFormat/>
    <w:pPr>
      <w:jc w:val="left"/>
      <w:spacing w:before="100" w:beforeAutospacing="1" w:after="100" w:afterAutospacing="1"/>
      <w:widowControl/>
    </w:pPr>
    <w:rPr>
      <w:rFonts w:ascii="宋体" w:hAnsi="宋体" w:cs="宋体"/>
      <w:sz w:val="24"/>
    </w:rPr>
  </w:style>
  <w:style w:type="paragraph" w:styleId="1158">
    <w:name w:val="Char Char Char Char Char Char Char"/>
    <w:basedOn w:val="1039"/>
    <w:next w:val="1158"/>
    <w:link w:val="1039"/>
    <w:qFormat/>
    <w:pPr>
      <w:ind w:firstLine="200"/>
      <w:spacing w:line="360" w:lineRule="auto"/>
    </w:pPr>
    <w:rPr>
      <w:rFonts w:eastAsia="仿宋_GB2312"/>
      <w:sz w:val="24"/>
    </w:rPr>
  </w:style>
  <w:style w:type="paragraph" w:styleId="1159">
    <w:name w:val="xl38"/>
    <w:basedOn w:val="1039"/>
    <w:next w:val="1159"/>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0">
    <w:name w:val="xl36"/>
    <w:basedOn w:val="1039"/>
    <w:next w:val="1160"/>
    <w:link w:val="103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name w:val="正文 + 宋体"/>
    <w:basedOn w:val="1039"/>
    <w:next w:val="1161"/>
    <w:link w:val="1039"/>
    <w:qFormat/>
    <w:pPr>
      <w:ind w:left="360" w:hanging="360"/>
      <w:jc w:val="left"/>
      <w:widowControl/>
    </w:pPr>
    <w:rPr>
      <w:rFonts w:ascii="宋体" w:hAnsi="宋体" w:cs="宋体"/>
      <w:b/>
      <w:bCs/>
      <w:color w:val="000000"/>
      <w:sz w:val="18"/>
      <w:szCs w:val="18"/>
    </w:rPr>
  </w:style>
  <w:style w:type="paragraph" w:styleId="1162">
    <w:name w:val="正文列项_数字"/>
    <w:basedOn w:val="1039"/>
    <w:next w:val="1162"/>
    <w:link w:val="1039"/>
    <w:qFormat/>
    <w:pPr>
      <w:numPr>
        <w:ilvl w:val="7"/>
        <w:numId w:val="1"/>
      </w:numPr>
      <w:ind w:left="680" w:hanging="150"/>
      <w:spacing w:line="460" w:lineRule="exact"/>
      <w:tabs>
        <w:tab w:val="clear" w:pos="860" w:leader="none"/>
      </w:tabs>
      <w:outlineLvl w:val="7"/>
    </w:pPr>
    <w:rPr>
      <w:rFonts w:ascii="宋体"/>
      <w:sz w:val="28"/>
      <w:szCs w:val="20"/>
    </w:rPr>
  </w:style>
  <w:style w:type="paragraph" w:styleId="1163">
    <w:name w:val="xl39"/>
    <w:basedOn w:val="1039"/>
    <w:next w:val="1163"/>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4">
    <w:name w:val="xl37"/>
    <w:basedOn w:val="1039"/>
    <w:next w:val="1164"/>
    <w:link w:val="10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name w:val="xl32"/>
    <w:basedOn w:val="1039"/>
    <w:next w:val="1165"/>
    <w:link w:val="10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name w:val="font8"/>
    <w:basedOn w:val="1039"/>
    <w:next w:val="1166"/>
    <w:link w:val="1039"/>
    <w:qFormat/>
    <w:pPr>
      <w:jc w:val="left"/>
      <w:spacing w:before="100" w:beforeAutospacing="1" w:after="100" w:afterAutospacing="1"/>
      <w:widowControl/>
    </w:pPr>
    <w:rPr>
      <w:sz w:val="36"/>
      <w:szCs w:val="36"/>
    </w:rPr>
  </w:style>
  <w:style w:type="paragraph" w:styleId="1167">
    <w:name w:val="Char"/>
    <w:basedOn w:val="1039"/>
    <w:next w:val="1167"/>
    <w:link w:val="1039"/>
    <w:qFormat/>
    <w:pPr>
      <w:tabs>
        <w:tab w:val="left" w:pos="360" w:leader="none"/>
      </w:tabs>
    </w:pPr>
    <w:rPr>
      <w:sz w:val="24"/>
    </w:rPr>
  </w:style>
  <w:style w:type="paragraph" w:styleId="1168">
    <w:name w:val="Char Char Char Char Char Char Char Char Char Char Char Char Char Char Char Char"/>
    <w:basedOn w:val="1039"/>
    <w:next w:val="1168"/>
    <w:link w:val="1039"/>
    <w:qFormat/>
    <w:pPr>
      <w:jc w:val="center"/>
      <w:spacing w:after="160" w:line="240" w:lineRule="exact"/>
      <w:widowControl/>
    </w:pPr>
    <w:rPr>
      <w:rFonts w:ascii="宋体" w:hAnsi="宋体"/>
      <w:b/>
      <w:sz w:val="30"/>
      <w:szCs w:val="30"/>
      <w:lang w:eastAsia="en-US"/>
    </w:rPr>
  </w:style>
  <w:style w:type="paragraph" w:styleId="1169">
    <w:name w:val="xl45"/>
    <w:basedOn w:val="1039"/>
    <w:next w:val="1169"/>
    <w:link w:val="103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0">
    <w:name w:val="Char Char1 Char Char Char Char Char Char"/>
    <w:basedOn w:val="1039"/>
    <w:next w:val="1170"/>
    <w:link w:val="1039"/>
    <w:qFormat/>
    <w:pPr>
      <w:jc w:val="left"/>
      <w:spacing w:after="160" w:line="240" w:lineRule="exact"/>
      <w:widowControl/>
    </w:pPr>
    <w:rPr>
      <w:rFonts w:ascii="Verdana" w:hAnsi="Verdana" w:eastAsia="仿宋_GB2312"/>
      <w:sz w:val="24"/>
      <w:szCs w:val="20"/>
      <w:lang w:eastAsia="en-US"/>
    </w:rPr>
  </w:style>
  <w:style w:type="paragraph" w:styleId="1171">
    <w:name w:val="Char Char1"/>
    <w:basedOn w:val="1064"/>
    <w:next w:val="1171"/>
    <w:link w:val="1039"/>
    <w:qFormat/>
    <w:rPr>
      <w:rFonts w:ascii="Tahoma" w:hAnsi="Tahoma"/>
      <w:sz w:val="24"/>
    </w:rPr>
  </w:style>
  <w:style w:type="paragraph" w:styleId="1172">
    <w:name w:val="xl26"/>
    <w:basedOn w:val="1039"/>
    <w:next w:val="1172"/>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3">
    <w:name w:val="xl30"/>
    <w:basedOn w:val="1039"/>
    <w:next w:val="1173"/>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xl41"/>
    <w:basedOn w:val="1039"/>
    <w:next w:val="1174"/>
    <w:link w:val="103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5">
    <w:name w:val="样式 宋体 五号 行距: 单倍行距"/>
    <w:basedOn w:val="1039"/>
    <w:next w:val="1175"/>
    <w:link w:val="1039"/>
    <w:qFormat/>
    <w:pPr>
      <w:jc w:val="left"/>
    </w:pPr>
    <w:rPr>
      <w:rFonts w:ascii="宋体" w:hAnsi="宋体"/>
      <w:szCs w:val="20"/>
    </w:rPr>
  </w:style>
  <w:style w:type="paragraph" w:styleId="1176">
    <w:name w:val="Char1 Char Char Char1"/>
    <w:basedOn w:val="1039"/>
    <w:next w:val="1176"/>
    <w:link w:val="1039"/>
    <w:qFormat/>
    <w:rPr>
      <w:rFonts w:ascii="Tahoma" w:hAnsi="Tahoma" w:cs="仿宋_GB2312"/>
      <w:sz w:val="24"/>
      <w:szCs w:val="28"/>
    </w:rPr>
  </w:style>
  <w:style w:type="paragraph" w:styleId="1177">
    <w:name w:val="四级条标题"/>
    <w:basedOn w:val="1178"/>
    <w:next w:val="1039"/>
    <w:link w:val="1039"/>
    <w:qFormat/>
    <w:pPr>
      <w:numPr>
        <w:ilvl w:val="4"/>
      </w:numPr>
      <w:ind w:left="0" w:hanging="840"/>
      <w:tabs>
        <w:tab w:val="left" w:pos="360" w:leader="none"/>
        <w:tab w:val="left" w:pos="840" w:leader="none"/>
      </w:tabs>
      <w:outlineLvl w:val="4"/>
    </w:pPr>
  </w:style>
  <w:style w:type="paragraph" w:styleId="1178">
    <w:name w:val="三级条标题"/>
    <w:basedOn w:val="1140"/>
    <w:next w:val="1039"/>
    <w:link w:val="1039"/>
    <w:qFormat/>
    <w:pPr>
      <w:numPr>
        <w:ilvl w:val="3"/>
        <w:numId w:val="1"/>
      </w:numPr>
      <w:ind w:left="0" w:hanging="840"/>
      <w:tabs>
        <w:tab w:val="left" w:pos="360" w:leader="none"/>
        <w:tab w:val="left" w:pos="840" w:leader="none"/>
      </w:tabs>
      <w:outlineLvl w:val="3"/>
    </w:pPr>
  </w:style>
  <w:style w:type="paragraph" w:styleId="1179">
    <w:name w:val="??"/>
    <w:next w:val="1179"/>
    <w:link w:val="1039"/>
    <w:qFormat/>
    <w:pPr>
      <w:jc w:val="both"/>
      <w:widowControl w:val="off"/>
    </w:pPr>
    <w:rPr>
      <w:sz w:val="21"/>
      <w:lang w:val="en-US" w:eastAsia="en-US" w:bidi="ar-SA"/>
    </w:rPr>
  </w:style>
  <w:style w:type="paragraph" w:styleId="1180">
    <w:name w:val="样式 标题 2 + 宋体 五号 行距: 单倍行距"/>
    <w:basedOn w:val="1041"/>
    <w:next w:val="1180"/>
    <w:link w:val="103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1">
    <w:name w:val="List Paragraph1"/>
    <w:basedOn w:val="1039"/>
    <w:next w:val="1181"/>
    <w:link w:val="1039"/>
    <w:qFormat/>
    <w:pPr>
      <w:ind w:firstLine="420"/>
    </w:pPr>
    <w:rPr>
      <w:rFonts w:ascii="Calibri" w:hAnsi="Calibri"/>
      <w:szCs w:val="22"/>
    </w:rPr>
  </w:style>
  <w:style w:type="paragraph" w:styleId="1182">
    <w:name w:val="项目符号1"/>
    <w:basedOn w:val="1183"/>
    <w:next w:val="1182"/>
    <w:link w:val="1039"/>
    <w:qFormat/>
    <w:pPr>
      <w:ind w:left="-25" w:firstLine="0"/>
    </w:pPr>
  </w:style>
  <w:style w:type="paragraph" w:styleId="1183">
    <w:name w:val="正文文本样式"/>
    <w:basedOn w:val="1039"/>
    <w:next w:val="1183"/>
    <w:link w:val="1039"/>
    <w:qFormat/>
    <w:pPr>
      <w:ind w:firstLine="482"/>
      <w:spacing w:line="360" w:lineRule="auto"/>
    </w:pPr>
    <w:rPr>
      <w:rFonts w:cs="宋体"/>
      <w:sz w:val="24"/>
      <w:szCs w:val="20"/>
    </w:rPr>
  </w:style>
  <w:style w:type="paragraph" w:styleId="1184">
    <w:name w:val="xl27"/>
    <w:basedOn w:val="1039"/>
    <w:next w:val="1184"/>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5">
    <w:name w:val="font5"/>
    <w:basedOn w:val="1039"/>
    <w:next w:val="1185"/>
    <w:link w:val="1039"/>
    <w:qFormat/>
    <w:pPr>
      <w:jc w:val="left"/>
      <w:spacing w:before="100" w:beforeAutospacing="1" w:after="100" w:afterAutospacing="1"/>
      <w:widowControl/>
    </w:pPr>
    <w:rPr>
      <w:rFonts w:ascii="宋体" w:hAnsi="宋体" w:cs="宋体"/>
      <w:sz w:val="18"/>
      <w:szCs w:val="18"/>
    </w:rPr>
  </w:style>
  <w:style w:type="paragraph" w:styleId="1186">
    <w:name w:val="五级条标题"/>
    <w:basedOn w:val="1177"/>
    <w:next w:val="1039"/>
    <w:link w:val="1039"/>
    <w:qFormat/>
    <w:pPr>
      <w:numPr>
        <w:ilvl w:val="5"/>
      </w:numPr>
      <w:ind w:left="0" w:hanging="840"/>
      <w:tabs>
        <w:tab w:val="left" w:pos="360" w:leader="none"/>
        <w:tab w:val="left" w:pos="840" w:leader="none"/>
      </w:tabs>
      <w:outlineLvl w:val="5"/>
    </w:pPr>
  </w:style>
  <w:style w:type="paragraph" w:styleId="1187">
    <w:name w:val="xl49"/>
    <w:basedOn w:val="1039"/>
    <w:next w:val="1187"/>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文档正文"/>
    <w:basedOn w:val="1039"/>
    <w:next w:val="1188"/>
    <w:link w:val="1039"/>
    <w:qFormat/>
    <w:pPr>
      <w:spacing w:before="120" w:after="120" w:line="180" w:lineRule="auto"/>
    </w:pPr>
    <w:rPr>
      <w:rFonts w:ascii="Arial" w:hAnsi="Arial"/>
      <w:szCs w:val="20"/>
    </w:rPr>
  </w:style>
  <w:style w:type="paragraph" w:styleId="1189">
    <w:name w:val="xl33"/>
    <w:basedOn w:val="1039"/>
    <w:next w:val="1189"/>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0">
    <w:name w:val="xl42"/>
    <w:basedOn w:val="1039"/>
    <w:next w:val="1190"/>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1">
    <w:name w:val="Char Char Char1 Char"/>
    <w:basedOn w:val="1039"/>
    <w:next w:val="1191"/>
    <w:link w:val="1039"/>
    <w:qFormat/>
    <w:rPr>
      <w:rFonts w:ascii="Tahoma" w:hAnsi="Tahoma"/>
      <w:sz w:val="24"/>
      <w:szCs w:val="20"/>
    </w:rPr>
  </w:style>
  <w:style w:type="paragraph" w:styleId="1192">
    <w:name w:val="xl44"/>
    <w:basedOn w:val="1039"/>
    <w:next w:val="1192"/>
    <w:link w:val="103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3">
    <w:name w:val="1名"/>
    <w:basedOn w:val="1039"/>
    <w:next w:val="1193"/>
    <w:link w:val="1039"/>
    <w:qFormat/>
    <w:pPr>
      <w:numPr>
        <w:ilvl w:val="0"/>
        <w:numId w:val="5"/>
      </w:numPr>
      <w:spacing w:before="120"/>
      <w:tabs>
        <w:tab w:val="left" w:pos="360" w:leader="none"/>
      </w:tabs>
    </w:pPr>
    <w:rPr>
      <w:rFonts w:ascii="宋体"/>
      <w:sz w:val="28"/>
      <w:szCs w:val="20"/>
    </w:rPr>
  </w:style>
  <w:style w:type="paragraph" w:styleId="1194">
    <w:name w:val="font9"/>
    <w:basedOn w:val="1039"/>
    <w:next w:val="1194"/>
    <w:link w:val="1039"/>
    <w:qFormat/>
    <w:pPr>
      <w:jc w:val="left"/>
      <w:spacing w:before="100" w:beforeAutospacing="1" w:after="100" w:afterAutospacing="1"/>
      <w:widowControl/>
    </w:pPr>
    <w:rPr>
      <w:rFonts w:hint="eastAsia" w:ascii="宋体" w:hAnsi="宋体" w:cs="Arial Unicode MS"/>
      <w:color w:val="000000"/>
      <w:sz w:val="20"/>
      <w:szCs w:val="20"/>
    </w:rPr>
  </w:style>
  <w:style w:type="paragraph" w:styleId="1195">
    <w:name w:val="Char Char Char1 Char1"/>
    <w:basedOn w:val="1039"/>
    <w:next w:val="1195"/>
    <w:link w:val="1039"/>
    <w:qFormat/>
    <w:rPr>
      <w:rFonts w:ascii="Tahoma" w:hAnsi="Tahoma"/>
      <w:sz w:val="24"/>
      <w:szCs w:val="20"/>
    </w:rPr>
  </w:style>
  <w:style w:type="paragraph" w:styleId="1196">
    <w:name w:val="Char Char Char Char Char Char Char Char Char Char"/>
    <w:basedOn w:val="1039"/>
    <w:next w:val="1196"/>
    <w:link w:val="1039"/>
    <w:qFormat/>
  </w:style>
  <w:style w:type="paragraph" w:styleId="1197">
    <w:name w:val="Char Char1 Char Char Char Char Char Char Char Char"/>
    <w:basedOn w:val="1039"/>
    <w:next w:val="1197"/>
    <w:link w:val="1039"/>
    <w:qFormat/>
    <w:pPr>
      <w:jc w:val="left"/>
      <w:spacing w:after="160" w:line="240" w:lineRule="exact"/>
      <w:widowControl/>
    </w:pPr>
    <w:rPr>
      <w:rFonts w:ascii="Verdana" w:hAnsi="Verdana"/>
      <w:sz w:val="20"/>
      <w:szCs w:val="20"/>
      <w:lang w:eastAsia="en-US"/>
    </w:rPr>
  </w:style>
  <w:style w:type="paragraph" w:styleId="1198">
    <w:name w:val="Char1"/>
    <w:basedOn w:val="1039"/>
    <w:next w:val="1198"/>
    <w:link w:val="1039"/>
    <w:qFormat/>
    <w:pPr>
      <w:tabs>
        <w:tab w:val="left" w:pos="360" w:leader="none"/>
      </w:tabs>
    </w:pPr>
    <w:rPr>
      <w:sz w:val="24"/>
    </w:rPr>
  </w:style>
  <w:style w:type="paragraph" w:styleId="1199">
    <w:name w:val="正文列项_字母"/>
    <w:basedOn w:val="1039"/>
    <w:next w:val="1199"/>
    <w:link w:val="1039"/>
    <w:qFormat/>
    <w:pPr>
      <w:numPr>
        <w:ilvl w:val="6"/>
        <w:numId w:val="1"/>
      </w:numPr>
      <w:ind w:left="480" w:hanging="180"/>
      <w:spacing w:line="460" w:lineRule="exact"/>
      <w:tabs>
        <w:tab w:val="clear" w:pos="635" w:leader="none"/>
      </w:tabs>
      <w:outlineLvl w:val="6"/>
    </w:pPr>
    <w:rPr>
      <w:rFonts w:ascii="宋体"/>
      <w:sz w:val="28"/>
      <w:szCs w:val="20"/>
    </w:rPr>
  </w:style>
  <w:style w:type="paragraph" w:styleId="1200">
    <w:name w:val="xl28"/>
    <w:basedOn w:val="1039"/>
    <w:next w:val="1200"/>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47"/>
    <w:basedOn w:val="1039"/>
    <w:next w:val="1201"/>
    <w:link w:val="103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默认段落字体 Para Char Char Char Char"/>
    <w:basedOn w:val="1039"/>
    <w:next w:val="1202"/>
    <w:link w:val="1039"/>
    <w:qFormat/>
    <w:rPr>
      <w:rFonts w:ascii="Arial" w:hAnsi="Arial" w:cs="Arial"/>
      <w:szCs w:val="21"/>
    </w:rPr>
  </w:style>
  <w:style w:type="paragraph" w:styleId="1203">
    <w:name w:val="xl48"/>
    <w:basedOn w:val="1039"/>
    <w:next w:val="1203"/>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4">
    <w:name w:val="xl31"/>
    <w:basedOn w:val="1039"/>
    <w:next w:val="1204"/>
    <w:link w:val="10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name w:val="xl53"/>
    <w:basedOn w:val="1039"/>
    <w:next w:val="1205"/>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Char Char Char"/>
    <w:basedOn w:val="1039"/>
    <w:next w:val="1206"/>
    <w:link w:val="1039"/>
    <w:qFormat/>
    <w:rPr>
      <w:rFonts w:ascii="Tahoma" w:hAnsi="Tahoma"/>
      <w:sz w:val="24"/>
      <w:szCs w:val="20"/>
    </w:rPr>
  </w:style>
  <w:style w:type="paragraph" w:styleId="1207">
    <w:name w:val="xl50"/>
    <w:basedOn w:val="1039"/>
    <w:next w:val="1207"/>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8">
    <w:name w:val="缺省文本"/>
    <w:basedOn w:val="1039"/>
    <w:next w:val="1208"/>
    <w:link w:val="1039"/>
    <w:qFormat/>
    <w:pPr>
      <w:jc w:val="left"/>
    </w:pPr>
    <w:rPr>
      <w:sz w:val="24"/>
    </w:rPr>
  </w:style>
  <w:style w:type="paragraph" w:styleId="1209">
    <w:name w:val="Char Char Char1"/>
    <w:basedOn w:val="1039"/>
    <w:next w:val="1209"/>
    <w:link w:val="1039"/>
    <w:qFormat/>
    <w:rPr>
      <w:rFonts w:ascii="Tahoma" w:hAnsi="Tahoma"/>
      <w:sz w:val="24"/>
      <w:szCs w:val="20"/>
    </w:rPr>
  </w:style>
  <w:style w:type="paragraph" w:styleId="1210">
    <w:name w:val="Char Char Char Char Char Char Char1"/>
    <w:basedOn w:val="1039"/>
    <w:next w:val="1210"/>
    <w:link w:val="1039"/>
    <w:qFormat/>
    <w:pPr>
      <w:ind w:firstLine="200"/>
      <w:spacing w:line="360" w:lineRule="auto"/>
    </w:pPr>
    <w:rPr>
      <w:rFonts w:eastAsia="仿宋_GB2312"/>
      <w:sz w:val="24"/>
    </w:rPr>
  </w:style>
  <w:style w:type="paragraph" w:styleId="1211">
    <w:name w:val="xl51"/>
    <w:basedOn w:val="1039"/>
    <w:next w:val="1211"/>
    <w:link w:val="103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name w:val="样式2"/>
    <w:basedOn w:val="1101"/>
    <w:next w:val="1212"/>
    <w:link w:val="1039"/>
    <w:qFormat/>
    <w:pPr>
      <w:jc w:val="center"/>
      <w:spacing w:line="360" w:lineRule="auto"/>
    </w:pPr>
    <w:rPr>
      <w:sz w:val="24"/>
    </w:rPr>
  </w:style>
  <w:style w:type="paragraph" w:styleId="1213">
    <w:name w:val="xl24"/>
    <w:basedOn w:val="1039"/>
    <w:next w:val="1213"/>
    <w:link w:val="10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name w:val="xl29"/>
    <w:basedOn w:val="1039"/>
    <w:next w:val="1214"/>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5">
    <w:name w:val="正文 + 楷体_GB2312"/>
    <w:basedOn w:val="1039"/>
    <w:next w:val="1215"/>
    <w:link w:val="1039"/>
    <w:qFormat/>
    <w:pPr>
      <w:jc w:val="left"/>
      <w:widowControl/>
    </w:pPr>
    <w:rPr>
      <w:rFonts w:ascii="楷体_GB2312" w:eastAsia="楷体_GB2312" w:cs="Arial"/>
      <w:sz w:val="24"/>
    </w:rPr>
  </w:style>
  <w:style w:type="paragraph" w:styleId="1216">
    <w:name w:val="xl34"/>
    <w:basedOn w:val="1039"/>
    <w:next w:val="1216"/>
    <w:link w:val="10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7">
    <w:name w:val="1 Char Char Char Char"/>
    <w:basedOn w:val="1039"/>
    <w:next w:val="1217"/>
    <w:link w:val="1039"/>
    <w:qFormat/>
    <w:rPr>
      <w:rFonts w:ascii="Tahoma" w:hAnsi="Tahoma"/>
      <w:sz w:val="24"/>
      <w:szCs w:val="20"/>
    </w:rPr>
  </w:style>
  <w:style w:type="paragraph" w:styleId="1218">
    <w:name w:val="Default"/>
    <w:next w:val="1218"/>
    <w:link w:val="1039"/>
    <w:qFormat/>
    <w:pPr>
      <w:widowControl w:val="off"/>
    </w:pPr>
    <w:rPr>
      <w:rFonts w:ascii="Symbol" w:hAnsi="Symbol" w:cs="Symbol"/>
      <w:color w:val="000000"/>
      <w:sz w:val="24"/>
      <w:szCs w:val="24"/>
      <w:lang w:val="en-US" w:eastAsia="zh-CN" w:bidi="ar-SA"/>
    </w:rPr>
  </w:style>
  <w:style w:type="paragraph" w:styleId="1219">
    <w:name w:val="列出段落1"/>
    <w:basedOn w:val="1039"/>
    <w:next w:val="1219"/>
    <w:link w:val="1039"/>
    <w:qFormat/>
    <w:pPr>
      <w:ind w:firstLine="420"/>
    </w:pPr>
    <w:rPr>
      <w:rFonts w:ascii="Calibri" w:hAnsi="Calibri"/>
      <w:szCs w:val="22"/>
    </w:rPr>
  </w:style>
  <w:style w:type="paragraph" w:styleId="1220">
    <w:name w:val="default"/>
    <w:basedOn w:val="1039"/>
    <w:next w:val="1220"/>
    <w:link w:val="1039"/>
    <w:qFormat/>
    <w:pPr>
      <w:jc w:val="left"/>
      <w:spacing w:before="100" w:beforeAutospacing="1" w:after="100" w:afterAutospacing="1"/>
      <w:widowControl/>
    </w:pPr>
    <w:rPr>
      <w:rFonts w:ascii="宋体" w:hAnsi="宋体" w:cs="宋体"/>
      <w:sz w:val="24"/>
    </w:rPr>
  </w:style>
  <w:style w:type="paragraph" w:styleId="1221">
    <w:name w:val="字元 字元1"/>
    <w:basedOn w:val="1039"/>
    <w:next w:val="1221"/>
    <w:link w:val="1039"/>
    <w:qFormat/>
    <w:rPr>
      <w:rFonts w:ascii="Tahoma" w:hAnsi="Tahoma"/>
      <w:sz w:val="24"/>
      <w:szCs w:val="20"/>
    </w:rPr>
  </w:style>
  <w:style w:type="paragraph" w:styleId="1222">
    <w:name w:val="_Style 160"/>
    <w:next w:val="1222"/>
    <w:link w:val="1039"/>
    <w:qFormat/>
    <w:rPr>
      <w:sz w:val="21"/>
      <w:szCs w:val="24"/>
      <w:lang w:val="en-US" w:eastAsia="zh-CN" w:bidi="ar-SA"/>
    </w:rPr>
  </w:style>
  <w:style w:type="paragraph" w:styleId="1223">
    <w:name w:val="项目编号3"/>
    <w:basedOn w:val="1183"/>
    <w:next w:val="1223"/>
    <w:link w:val="1039"/>
    <w:qFormat/>
    <w:pPr>
      <w:numPr>
        <w:ilvl w:val="0"/>
        <w:numId w:val="6"/>
      </w:numPr>
    </w:pPr>
  </w:style>
  <w:style w:type="paragraph" w:styleId="1224">
    <w:name w:val="Char21"/>
    <w:basedOn w:val="1039"/>
    <w:next w:val="1224"/>
    <w:link w:val="1039"/>
    <w:qFormat/>
    <w:rPr>
      <w:rFonts w:ascii="Tahoma" w:hAnsi="Tahoma"/>
      <w:sz w:val="24"/>
      <w:szCs w:val="20"/>
    </w:rPr>
  </w:style>
  <w:style w:type="paragraph" w:styleId="1225">
    <w:name w:val="表格文字"/>
    <w:basedOn w:val="1072"/>
    <w:next w:val="1225"/>
    <w:link w:val="1039"/>
    <w:qFormat/>
    <w:pPr>
      <w:ind w:firstLine="0"/>
      <w:spacing w:before="20" w:after="20" w:line="240" w:lineRule="auto"/>
    </w:pPr>
    <w:rPr>
      <w:rFonts w:ascii="Century Gothic" w:hAnsi="Century Gothic"/>
      <w:sz w:val="20"/>
      <w:szCs w:val="20"/>
    </w:rPr>
  </w:style>
  <w:style w:type="paragraph" w:styleId="1226">
    <w:name w:val="Char Char Char Char Char Char Char Char Char Char1"/>
    <w:basedOn w:val="1039"/>
    <w:next w:val="1226"/>
    <w:link w:val="1039"/>
    <w:qFormat/>
    <w:rPr>
      <w:rFonts w:ascii="宋体" w:hAnsi="宋体" w:cs="Courier New"/>
      <w:sz w:val="32"/>
      <w:szCs w:val="32"/>
    </w:rPr>
  </w:style>
  <w:style w:type="paragraph" w:styleId="1227">
    <w:name w:val="正文文本样式 加粗"/>
    <w:basedOn w:val="1183"/>
    <w:next w:val="1227"/>
    <w:link w:val="1039"/>
    <w:qFormat/>
    <w:rPr>
      <w:b/>
    </w:rPr>
  </w:style>
  <w:style w:type="paragraph" w:styleId="1228">
    <w:name w:val="Char2 Char Char Char Char Char Char"/>
    <w:basedOn w:val="1039"/>
    <w:next w:val="1228"/>
    <w:link w:val="1039"/>
    <w:qFormat/>
    <w:pPr>
      <w:jc w:val="center"/>
      <w:spacing w:line="400" w:lineRule="exact"/>
      <w:widowControl/>
    </w:pPr>
  </w:style>
  <w:style w:type="paragraph" w:styleId="1229">
    <w:name w:val="Char Char4"/>
    <w:basedOn w:val="1039"/>
    <w:next w:val="1229"/>
    <w:link w:val="1039"/>
    <w:qFormat/>
    <w:pPr>
      <w:jc w:val="center"/>
      <w:spacing w:line="400" w:lineRule="exact"/>
      <w:widowControl/>
    </w:pPr>
  </w:style>
  <w:style w:type="paragraph" w:styleId="1230">
    <w:name w:val="Char3 Char Char Char1"/>
    <w:basedOn w:val="1039"/>
    <w:next w:val="1230"/>
    <w:link w:val="1039"/>
    <w:qFormat/>
    <w:rPr>
      <w:rFonts w:ascii="Tahoma" w:hAnsi="Tahoma"/>
      <w:sz w:val="24"/>
      <w:szCs w:val="20"/>
    </w:rPr>
  </w:style>
  <w:style w:type="paragraph" w:styleId="1231">
    <w:name w:val="无间隔"/>
    <w:next w:val="1231"/>
    <w:link w:val="1039"/>
    <w:qFormat/>
    <w:pPr>
      <w:jc w:val="both"/>
      <w:widowControl w:val="off"/>
    </w:pPr>
    <w:rPr>
      <w:sz w:val="21"/>
      <w:szCs w:val="24"/>
      <w:lang w:val="en-US" w:eastAsia="zh-CN" w:bidi="ar-SA"/>
    </w:rPr>
  </w:style>
  <w:style w:type="paragraph" w:styleId="1232">
    <w:name w:val="22222222222222"/>
    <w:basedOn w:val="1039"/>
    <w:next w:val="1232"/>
    <w:link w:val="1039"/>
    <w:qFormat/>
    <w:pPr>
      <w:ind w:firstLine="480"/>
      <w:jc w:val="left"/>
      <w:spacing w:line="360" w:lineRule="auto"/>
      <w:widowControl/>
    </w:pPr>
    <w:rPr>
      <w:color w:val="ff0000"/>
      <w:sz w:val="24"/>
      <w:szCs w:val="20"/>
    </w:rPr>
  </w:style>
  <w:style w:type="character" w:styleId="1233">
    <w:name w:val="中等深浅网格 1 - 强调文字颜色 2 Char"/>
    <w:next w:val="1233"/>
    <w:link w:val="1234"/>
    <w:qFormat/>
    <w:rPr>
      <w:sz w:val="21"/>
      <w:szCs w:val="24"/>
      <w:lang w:val="zh-CN" w:eastAsia="zh-CN" w:bidi="ar-SA"/>
    </w:rPr>
  </w:style>
  <w:style w:type="paragraph" w:styleId="1234">
    <w:name w:val="1"/>
    <w:next w:val="1234"/>
    <w:link w:val="1233"/>
    <w:qFormat/>
    <w:rPr>
      <w:sz w:val="21"/>
      <w:szCs w:val="24"/>
      <w:lang w:val="zh-CN" w:eastAsia="zh-CN" w:bidi="ar-SA"/>
    </w:rPr>
  </w:style>
  <w:style w:type="paragraph" w:styleId="1235">
    <w:name w:val="图文"/>
    <w:basedOn w:val="1039"/>
    <w:next w:val="1235"/>
    <w:link w:val="1039"/>
    <w:qFormat/>
    <w:pPr>
      <w:spacing w:after="50" w:line="360" w:lineRule="auto"/>
    </w:pPr>
    <w:rPr>
      <w:sz w:val="24"/>
    </w:rPr>
  </w:style>
  <w:style w:type="paragraph" w:styleId="1236">
    <w:name w:val="xl23"/>
    <w:basedOn w:val="1039"/>
    <w:next w:val="1236"/>
    <w:link w:val="1039"/>
    <w:qFormat/>
    <w:pPr>
      <w:spacing w:before="100" w:beforeAutospacing="1" w:after="100" w:afterAutospacing="1" w:line="360" w:lineRule="auto"/>
      <w:widowControl/>
    </w:pPr>
    <w:rPr>
      <w:sz w:val="24"/>
      <w:szCs w:val="20"/>
    </w:rPr>
  </w:style>
  <w:style w:type="paragraph" w:styleId="1237">
    <w:name w:val="正文表格"/>
    <w:basedOn w:val="1039"/>
    <w:next w:val="1237"/>
    <w:link w:val="1238"/>
    <w:qFormat/>
    <w:pPr>
      <w:jc w:val="left"/>
    </w:pPr>
    <w:rPr>
      <w:rFonts w:ascii="宋体" w:hAnsi="宋体"/>
      <w:color w:val="000000"/>
      <w:szCs w:val="21"/>
    </w:rPr>
  </w:style>
  <w:style w:type="character" w:styleId="1238">
    <w:name w:val="正文表格 Char"/>
    <w:next w:val="1238"/>
    <w:link w:val="1237"/>
    <w:qFormat/>
    <w:rPr>
      <w:rFonts w:ascii="宋体" w:hAnsi="宋体"/>
      <w:color w:val="000000"/>
      <w:sz w:val="21"/>
      <w:szCs w:val="21"/>
    </w:rPr>
  </w:style>
  <w:style w:type="paragraph" w:styleId="1239">
    <w:name w:val="正文重点"/>
    <w:basedOn w:val="1039"/>
    <w:next w:val="1239"/>
    <w:link w:val="1240"/>
    <w:qFormat/>
    <w:pPr>
      <w:ind w:firstLine="482"/>
      <w:jc w:val="left"/>
      <w:spacing w:line="360" w:lineRule="auto"/>
    </w:pPr>
    <w:rPr>
      <w:b/>
      <w:sz w:val="24"/>
      <w:szCs w:val="20"/>
    </w:rPr>
  </w:style>
  <w:style w:type="character" w:styleId="1240">
    <w:name w:val="正文重点 Char"/>
    <w:next w:val="1240"/>
    <w:link w:val="1239"/>
    <w:qFormat/>
    <w:rPr>
      <w:b/>
      <w:sz w:val="24"/>
    </w:rPr>
  </w:style>
  <w:style w:type="paragraph" w:styleId="1241">
    <w:name w:val="标题1-附件"/>
    <w:basedOn w:val="1040"/>
    <w:next w:val="1241"/>
    <w:link w:val="1039"/>
    <w:qFormat/>
    <w:pPr>
      <w:jc w:val="left"/>
    </w:pPr>
    <w:rPr>
      <w:sz w:val="24"/>
      <w:szCs w:val="24"/>
    </w:rPr>
  </w:style>
  <w:style w:type="paragraph" w:styleId="1242">
    <w:name w:val="正文小标题"/>
    <w:basedOn w:val="1039"/>
    <w:next w:val="1061"/>
    <w:link w:val="1243"/>
    <w:qFormat/>
    <w:pPr>
      <w:ind w:firstLine="482"/>
      <w:jc w:val="left"/>
      <w:spacing w:before="312" w:after="312"/>
    </w:pPr>
    <w:rPr>
      <w:rFonts w:ascii="宋体" w:hAnsi="宋体"/>
      <w:b/>
      <w:i/>
      <w:color w:val="ff0000"/>
      <w:sz w:val="24"/>
      <w:szCs w:val="20"/>
    </w:rPr>
  </w:style>
  <w:style w:type="character" w:styleId="1243">
    <w:name w:val="正文小标题 Char"/>
    <w:next w:val="1243"/>
    <w:link w:val="1242"/>
    <w:qFormat/>
    <w:rPr>
      <w:rFonts w:ascii="宋体" w:hAnsi="宋体"/>
      <w:b/>
      <w:i/>
      <w:color w:val="ff0000"/>
      <w:sz w:val="24"/>
    </w:rPr>
  </w:style>
  <w:style w:type="paragraph" w:styleId="1244">
    <w:name w:val="正文大标题"/>
    <w:basedOn w:val="1242"/>
    <w:next w:val="1061"/>
    <w:link w:val="1245"/>
    <w:qFormat/>
    <w:pPr>
      <w:jc w:val="center"/>
    </w:pPr>
    <w:rPr>
      <w:i w:val="0"/>
      <w:color w:val="000000"/>
      <w:sz w:val="28"/>
      <w:szCs w:val="21"/>
    </w:rPr>
  </w:style>
  <w:style w:type="character" w:styleId="1245">
    <w:name w:val="正文大标题 Char"/>
    <w:next w:val="1245"/>
    <w:link w:val="1244"/>
    <w:qFormat/>
    <w:rPr>
      <w:rFonts w:ascii="宋体" w:hAnsi="宋体"/>
      <w:b/>
      <w:color w:val="000000"/>
      <w:sz w:val="28"/>
      <w:szCs w:val="21"/>
    </w:rPr>
  </w:style>
  <w:style w:type="paragraph" w:styleId="1246">
    <w:name w:val="注释"/>
    <w:basedOn w:val="1039"/>
    <w:next w:val="1246"/>
    <w:link w:val="1247"/>
    <w:qFormat/>
    <w:pPr>
      <w:ind w:left="420" w:hanging="420"/>
      <w:jc w:val="left"/>
    </w:pPr>
    <w:rPr>
      <w:rFonts w:ascii="宋体" w:hAnsi="宋体"/>
      <w:szCs w:val="21"/>
    </w:rPr>
  </w:style>
  <w:style w:type="character" w:styleId="1247">
    <w:name w:val="注释 Char"/>
    <w:next w:val="1247"/>
    <w:link w:val="1246"/>
    <w:qFormat/>
    <w:rPr>
      <w:rFonts w:ascii="宋体" w:hAnsi="宋体"/>
      <w:sz w:val="21"/>
      <w:szCs w:val="21"/>
    </w:rPr>
  </w:style>
  <w:style w:type="paragraph" w:styleId="1248">
    <w:name w:val="正文须知-1级"/>
    <w:basedOn w:val="1039"/>
    <w:next w:val="1039"/>
    <w:link w:val="1039"/>
    <w:qFormat/>
    <w:pPr>
      <w:numPr>
        <w:ilvl w:val="0"/>
        <w:numId w:val="7"/>
      </w:numPr>
      <w:spacing w:line="300" w:lineRule="auto"/>
    </w:pPr>
    <w:rPr>
      <w:rFonts w:ascii="宋体" w:hAnsi="Calibri"/>
      <w:sz w:val="24"/>
      <w:szCs w:val="21"/>
    </w:rPr>
  </w:style>
  <w:style w:type="paragraph" w:styleId="1249">
    <w:name w:val="正文须知-2级"/>
    <w:basedOn w:val="1039"/>
    <w:next w:val="1249"/>
    <w:link w:val="1039"/>
    <w:qFormat/>
    <w:pPr>
      <w:numPr>
        <w:ilvl w:val="1"/>
        <w:numId w:val="7"/>
      </w:numPr>
      <w:spacing w:line="300" w:lineRule="auto"/>
    </w:pPr>
    <w:rPr>
      <w:rFonts w:ascii="宋体" w:hAnsi="Calibri"/>
      <w:sz w:val="24"/>
      <w:szCs w:val="21"/>
    </w:rPr>
  </w:style>
  <w:style w:type="paragraph" w:styleId="1250">
    <w:name w:val="正文须知-3级"/>
    <w:basedOn w:val="1039"/>
    <w:next w:val="1250"/>
    <w:link w:val="1039"/>
    <w:qFormat/>
    <w:pPr>
      <w:numPr>
        <w:ilvl w:val="2"/>
        <w:numId w:val="7"/>
      </w:numPr>
      <w:ind w:hanging="355"/>
      <w:spacing w:line="300" w:lineRule="auto"/>
    </w:pPr>
    <w:rPr>
      <w:rFonts w:ascii="宋体" w:hAnsi="Calibri"/>
      <w:sz w:val="24"/>
      <w:szCs w:val="21"/>
    </w:rPr>
  </w:style>
  <w:style w:type="character" w:styleId="1251">
    <w:name w:val="纯文本 字符"/>
    <w:next w:val="1251"/>
    <w:link w:val="1039"/>
    <w:uiPriority w:val="99"/>
    <w:qFormat/>
    <w:rPr>
      <w:rFonts w:ascii="宋体" w:hAnsi="Courier New" w:eastAsia="宋体" w:cs="Times New Roman"/>
      <w:sz w:val="21"/>
      <w:szCs w:val="21"/>
      <w:lang w:val="en-US" w:eastAsia="zh-CN" w:bidi="ar-SA"/>
    </w:rPr>
  </w:style>
  <w:style w:type="paragraph" w:styleId="1252">
    <w:name w:val="表格1"/>
    <w:basedOn w:val="1039"/>
    <w:next w:val="1252"/>
    <w:link w:val="1039"/>
    <w:qFormat/>
    <w:pPr>
      <w:ind w:firstLine="480"/>
      <w:jc w:val="center"/>
    </w:pPr>
    <w:rPr>
      <w:sz w:val="24"/>
      <w:szCs w:val="20"/>
    </w:rPr>
  </w:style>
  <w:style w:type="character" w:styleId="1253">
    <w:name w:val="纯文本 字符1"/>
    <w:next w:val="1253"/>
    <w:link w:val="1039"/>
    <w:qFormat/>
    <w:rPr>
      <w:rFonts w:ascii="宋体" w:hAnsi="Courier New"/>
    </w:rPr>
  </w:style>
  <w:style w:type="character" w:styleId="1254">
    <w:name w:val="bjh-p"/>
    <w:next w:val="1254"/>
    <w:link w:val="1039"/>
    <w:qFormat/>
  </w:style>
  <w:style w:type="paragraph" w:styleId="1255">
    <w:name w:val="无标题条"/>
    <w:next w:val="1039"/>
    <w:link w:val="1039"/>
    <w:qFormat/>
    <w:pPr>
      <w:jc w:val="both"/>
    </w:pPr>
    <w:rPr>
      <w:sz w:val="21"/>
      <w:lang w:val="en-US" w:eastAsia="zh-CN" w:bidi="ar-SA"/>
    </w:rPr>
  </w:style>
  <w:style w:type="character" w:styleId="1256">
    <w:name w:val="正文格式 Char"/>
    <w:next w:val="1256"/>
    <w:link w:val="1257"/>
    <w:qFormat/>
    <w:rPr>
      <w:rFonts w:ascii="宋体" w:hAnsi="宋体"/>
      <w:sz w:val="24"/>
      <w:szCs w:val="24"/>
      <w:lang w:val="en-GB"/>
    </w:rPr>
  </w:style>
  <w:style w:type="paragraph" w:styleId="1257">
    <w:name w:val="正文格式"/>
    <w:basedOn w:val="1039"/>
    <w:next w:val="1257"/>
    <w:link w:val="1256"/>
    <w:qFormat/>
    <w:pPr>
      <w:ind w:firstLine="480"/>
      <w:spacing w:line="360" w:lineRule="auto"/>
    </w:pPr>
    <w:rPr>
      <w:rFonts w:ascii="宋体" w:hAnsi="宋体"/>
      <w:sz w:val="24"/>
      <w:lang w:val="en-GB"/>
    </w:rPr>
  </w:style>
  <w:style w:type="character" w:styleId="1258">
    <w:name w:val="标题 3 Char"/>
    <w:next w:val="1258"/>
    <w:link w:val="1039"/>
    <w:qFormat/>
    <w:rPr>
      <w:rFonts w:ascii="宋体" w:eastAsia="宋体"/>
      <w:b/>
      <w:sz w:val="24"/>
      <w:u w:val="single"/>
      <w:lang w:val="en-US" w:eastAsia="zh-CN" w:bidi="ar-SA"/>
    </w:rPr>
  </w:style>
  <w:style w:type="character" w:styleId="1259">
    <w:name w:val="正文缩进 Char"/>
    <w:next w:val="1259"/>
    <w:link w:val="1039"/>
    <w:qFormat/>
    <w:rPr>
      <w:rFonts w:ascii="宋体" w:eastAsia="宋体"/>
      <w:sz w:val="24"/>
      <w:szCs w:val="24"/>
      <w:lang w:val="en-US" w:eastAsia="zh-CN" w:bidi="ar-SA"/>
    </w:rPr>
  </w:style>
  <w:style w:type="character" w:styleId="1260">
    <w:name w:val="Char Char111"/>
    <w:next w:val="1260"/>
    <w:link w:val="1039"/>
    <w:qFormat/>
    <w:rPr>
      <w:rFonts w:ascii="宋体" w:eastAsia="宋体"/>
      <w:b/>
      <w:sz w:val="24"/>
      <w:u w:val="single"/>
      <w:lang w:val="en-US" w:eastAsia="zh-CN" w:bidi="ar-SA"/>
    </w:rPr>
  </w:style>
  <w:style w:type="character" w:styleId="1261">
    <w:name w:val="正文文本缩进 Char"/>
    <w:next w:val="1261"/>
    <w:link w:val="1039"/>
    <w:qFormat/>
    <w:rPr>
      <w:rFonts w:eastAsia="宋体"/>
      <w:sz w:val="24"/>
      <w:szCs w:val="24"/>
      <w:lang w:val="en-US" w:eastAsia="zh-CN" w:bidi="ar-SA"/>
    </w:rPr>
  </w:style>
  <w:style w:type="character" w:styleId="1262">
    <w:name w:val="列出段落 Char"/>
    <w:next w:val="1262"/>
    <w:link w:val="1039"/>
    <w:qFormat/>
    <w:rPr>
      <w:rFonts w:ascii="Calibri" w:hAnsi="Calibri" w:eastAsia="宋体"/>
      <w:sz w:val="21"/>
      <w:szCs w:val="22"/>
      <w:lang w:val="en-US" w:eastAsia="zh-CN" w:bidi="ar-SA"/>
    </w:rPr>
  </w:style>
  <w:style w:type="character" w:styleId="1263">
    <w:name w:val="页眉 Char"/>
    <w:next w:val="1263"/>
    <w:link w:val="1039"/>
    <w:qFormat/>
    <w:rPr>
      <w:rFonts w:eastAsia="宋体"/>
      <w:sz w:val="18"/>
      <w:szCs w:val="18"/>
      <w:lang w:val="en-US" w:eastAsia="zh-CN" w:bidi="ar-SA"/>
    </w:rPr>
  </w:style>
  <w:style w:type="character" w:styleId="1264">
    <w:name w:val="标题 2 Char"/>
    <w:next w:val="1264"/>
    <w:link w:val="1039"/>
    <w:qFormat/>
    <w:rPr>
      <w:rFonts w:ascii="Arial" w:hAnsi="Arial" w:eastAsia="黑体"/>
      <w:b/>
      <w:sz w:val="30"/>
      <w:lang w:val="en-US" w:eastAsia="zh-CN" w:bidi="ar-SA"/>
    </w:rPr>
  </w:style>
  <w:style w:type="paragraph" w:styleId="1265">
    <w:name w:val="字元 字元2"/>
    <w:basedOn w:val="1039"/>
    <w:next w:val="1265"/>
    <w:link w:val="1039"/>
    <w:qFormat/>
    <w:rPr>
      <w:rFonts w:ascii="Tahoma" w:hAnsi="Tahoma"/>
      <w:sz w:val="24"/>
      <w:szCs w:val="20"/>
    </w:rPr>
  </w:style>
  <w:style w:type="paragraph" w:styleId="1266">
    <w:name w:val="Char3 Char Char Char2"/>
    <w:basedOn w:val="1039"/>
    <w:next w:val="1266"/>
    <w:link w:val="1039"/>
    <w:qFormat/>
    <w:rPr>
      <w:rFonts w:ascii="Tahoma" w:hAnsi="Tahoma"/>
      <w:sz w:val="24"/>
      <w:szCs w:val="20"/>
    </w:rPr>
  </w:style>
  <w:style w:type="paragraph" w:styleId="1267">
    <w:name w:val="正文文本缩进2"/>
    <w:basedOn w:val="1039"/>
    <w:next w:val="1267"/>
    <w:link w:val="1039"/>
    <w:qFormat/>
    <w:pPr>
      <w:ind w:firstLine="480"/>
      <w:spacing w:line="480" w:lineRule="exact"/>
    </w:pPr>
    <w:rPr>
      <w:rFonts w:ascii="宋体" w:hAnsi="宋体"/>
      <w:sz w:val="24"/>
      <w:lang w:val="zh-CN" w:eastAsia="zh-CN"/>
    </w:rPr>
  </w:style>
  <w:style w:type="paragraph" w:styleId="1268">
    <w:name w:val="Char3"/>
    <w:basedOn w:val="1039"/>
    <w:next w:val="1268"/>
    <w:link w:val="1039"/>
    <w:qFormat/>
    <w:pPr>
      <w:tabs>
        <w:tab w:val="left" w:pos="360" w:leader="none"/>
      </w:tabs>
    </w:pPr>
    <w:rPr>
      <w:sz w:val="24"/>
    </w:rPr>
  </w:style>
  <w:style w:type="paragraph" w:styleId="1269">
    <w:name w:val="Char Char Char Char Char Char Char Char Char Char Char Char Char Char Char Char1"/>
    <w:basedOn w:val="1039"/>
    <w:next w:val="1269"/>
    <w:link w:val="1039"/>
    <w:qFormat/>
    <w:pPr>
      <w:jc w:val="center"/>
      <w:spacing w:after="160" w:line="240" w:lineRule="exact"/>
      <w:widowControl/>
    </w:pPr>
    <w:rPr>
      <w:rFonts w:ascii="宋体" w:hAnsi="宋体"/>
      <w:b/>
      <w:sz w:val="30"/>
      <w:szCs w:val="30"/>
      <w:lang w:eastAsia="en-US"/>
    </w:rPr>
  </w:style>
  <w:style w:type="paragraph" w:styleId="1270">
    <w:name w:val="Char Char1 Char Char Char Char Char Char1"/>
    <w:basedOn w:val="1039"/>
    <w:next w:val="1270"/>
    <w:link w:val="1039"/>
    <w:qFormat/>
    <w:pPr>
      <w:jc w:val="left"/>
      <w:spacing w:after="160" w:line="240" w:lineRule="exact"/>
      <w:widowControl/>
    </w:pPr>
    <w:rPr>
      <w:rFonts w:ascii="Verdana" w:hAnsi="Verdana" w:eastAsia="仿宋_GB2312"/>
      <w:sz w:val="24"/>
      <w:szCs w:val="20"/>
      <w:lang w:eastAsia="en-US"/>
    </w:rPr>
  </w:style>
  <w:style w:type="paragraph" w:styleId="1271">
    <w:name w:val="列出段落2"/>
    <w:basedOn w:val="1039"/>
    <w:next w:val="1271"/>
    <w:link w:val="1039"/>
    <w:qFormat/>
    <w:pPr>
      <w:ind w:firstLine="420"/>
    </w:pPr>
    <w:rPr>
      <w:rFonts w:ascii="Calibri" w:hAnsi="Calibri"/>
      <w:szCs w:val="22"/>
    </w:rPr>
  </w:style>
  <w:style w:type="paragraph" w:styleId="1272">
    <w:name w:val="Char Char Char1 Char2"/>
    <w:basedOn w:val="1039"/>
    <w:next w:val="1272"/>
    <w:link w:val="1039"/>
    <w:qFormat/>
    <w:rPr>
      <w:rFonts w:ascii="Tahoma" w:hAnsi="Tahoma"/>
      <w:sz w:val="24"/>
      <w:szCs w:val="20"/>
    </w:rPr>
  </w:style>
  <w:style w:type="paragraph" w:styleId="1273">
    <w:name w:val="Char Char Char2"/>
    <w:basedOn w:val="1039"/>
    <w:next w:val="1273"/>
    <w:link w:val="1039"/>
    <w:qFormat/>
    <w:rPr>
      <w:rFonts w:ascii="Tahoma" w:hAnsi="Tahoma"/>
      <w:sz w:val="24"/>
      <w:szCs w:val="20"/>
    </w:rPr>
  </w:style>
  <w:style w:type="paragraph" w:styleId="1274">
    <w:name w:val="Char Char Char Char Char Char Char2"/>
    <w:basedOn w:val="1039"/>
    <w:next w:val="1274"/>
    <w:link w:val="1039"/>
    <w:qFormat/>
    <w:pPr>
      <w:ind w:firstLine="200"/>
      <w:spacing w:line="360" w:lineRule="auto"/>
    </w:pPr>
    <w:rPr>
      <w:rFonts w:eastAsia="仿宋_GB2312"/>
      <w:sz w:val="24"/>
    </w:rPr>
  </w:style>
  <w:style w:type="paragraph" w:styleId="1275">
    <w:name w:val="正文缩进2"/>
    <w:basedOn w:val="1039"/>
    <w:next w:val="1275"/>
    <w:link w:val="1039"/>
    <w:qFormat/>
    <w:pPr>
      <w:ind w:firstLine="567"/>
      <w:spacing w:line="480" w:lineRule="exact"/>
      <w:widowControl/>
    </w:pPr>
    <w:rPr>
      <w:rFonts w:ascii="宋体"/>
      <w:color w:val="000000"/>
      <w:sz w:val="28"/>
      <w:szCs w:val="20"/>
      <w:lang w:val="zh-CN" w:eastAsia="zh-CN"/>
    </w:rPr>
  </w:style>
  <w:style w:type="paragraph" w:styleId="1276">
    <w:name w:val="Revision"/>
    <w:next w:val="1276"/>
    <w:link w:val="1039"/>
    <w:qFormat/>
    <w:rPr>
      <w:sz w:val="21"/>
      <w:szCs w:val="24"/>
      <w:lang w:val="en-US" w:eastAsia="zh-CN" w:bidi="ar-SA"/>
    </w:rPr>
  </w:style>
  <w:style w:type="paragraph" w:styleId="1277">
    <w:name w:val="Char22"/>
    <w:basedOn w:val="1039"/>
    <w:next w:val="1277"/>
    <w:link w:val="1039"/>
    <w:qFormat/>
    <w:rPr>
      <w:rFonts w:ascii="Tahoma" w:hAnsi="Tahoma"/>
      <w:sz w:val="24"/>
      <w:szCs w:val="20"/>
    </w:rPr>
  </w:style>
  <w:style w:type="paragraph" w:styleId="1278">
    <w:name w:val="Char Char Char Char Char Char Char Char Char Char2"/>
    <w:basedOn w:val="1039"/>
    <w:next w:val="1278"/>
    <w:link w:val="1039"/>
    <w:qFormat/>
    <w:rPr>
      <w:rFonts w:ascii="宋体" w:hAnsi="宋体" w:cs="Courier New"/>
      <w:sz w:val="32"/>
      <w:szCs w:val="32"/>
    </w:rPr>
  </w:style>
  <w:style w:type="paragraph" w:styleId="1279">
    <w:name w:val="Char2 Char Char Char Char Char Char1"/>
    <w:basedOn w:val="1039"/>
    <w:next w:val="1279"/>
    <w:link w:val="1039"/>
    <w:qFormat/>
    <w:pPr>
      <w:jc w:val="center"/>
      <w:spacing w:line="400" w:lineRule="exact"/>
      <w:widowControl/>
    </w:pPr>
  </w:style>
  <w:style w:type="character" w:styleId="1280">
    <w:name w:val="页脚 Char"/>
    <w:next w:val="1280"/>
    <w:link w:val="1039"/>
    <w:uiPriority w:val="99"/>
    <w:qFormat/>
    <w:rPr>
      <w:rFonts w:ascii="宋体" w:eastAsia="宋体"/>
      <w:sz w:val="18"/>
      <w:lang w:val="en-US" w:eastAsia="zh-CN" w:bidi="ar-SA"/>
    </w:rPr>
  </w:style>
  <w:style w:type="paragraph" w:styleId="1281">
    <w:name w:val="Char Char41"/>
    <w:basedOn w:val="1039"/>
    <w:next w:val="1281"/>
    <w:link w:val="1039"/>
    <w:qFormat/>
    <w:pPr>
      <w:jc w:val="center"/>
      <w:spacing w:line="400" w:lineRule="exact"/>
      <w:widowControl/>
    </w:pPr>
  </w:style>
  <w:style w:type="character" w:styleId="1282">
    <w:name w:val="批注文字 Char"/>
    <w:next w:val="1282"/>
    <w:link w:val="1039"/>
    <w:uiPriority w:val="99"/>
    <w:qFormat/>
    <w:rPr>
      <w:sz w:val="21"/>
      <w:szCs w:val="24"/>
    </w:rPr>
  </w:style>
  <w:style w:type="character" w:styleId="1283">
    <w:name w:val="标题 Char"/>
    <w:next w:val="1283"/>
    <w:link w:val="1039"/>
    <w:qFormat/>
    <w:rPr>
      <w:b/>
      <w:sz w:val="32"/>
    </w:rPr>
  </w:style>
  <w:style w:type="paragraph" w:styleId="1284">
    <w:name w:val="图例"/>
    <w:basedOn w:val="1039"/>
    <w:next w:val="1284"/>
    <w:link w:val="1039"/>
    <w:qFormat/>
    <w:pPr>
      <w:jc w:val="center"/>
      <w:spacing w:before="120" w:after="120" w:line="360" w:lineRule="auto"/>
    </w:pPr>
    <w:rPr>
      <w:rFonts w:eastAsia="仿宋_GB2312"/>
      <w:b/>
      <w:sz w:val="24"/>
      <w:szCs w:val="20"/>
    </w:rPr>
  </w:style>
  <w:style w:type="paragraph" w:styleId="1285">
    <w:name w:val="Table Paragraph"/>
    <w:basedOn w:val="1039"/>
    <w:next w:val="1285"/>
    <w:link w:val="1039"/>
    <w:uiPriority w:val="1"/>
    <w:qFormat/>
    <w:pPr>
      <w:jc w:val="left"/>
    </w:pPr>
    <w:rPr>
      <w:rFonts w:ascii="宋体" w:hAnsi="宋体" w:cs="宋体"/>
      <w:sz w:val="22"/>
      <w:szCs w:val="22"/>
      <w:lang w:eastAsia="en-US"/>
    </w:rPr>
  </w:style>
  <w:style w:type="table" w:styleId="1286">
    <w:name w:val="Table Normal"/>
    <w:next w:val="1286"/>
    <w:link w:val="1039"/>
    <w:uiPriority w:val="2"/>
    <w:semiHidden/>
    <w:qFormat/>
    <w:pPr>
      <w:widowControl w:val="off"/>
    </w:pPr>
    <w:rPr>
      <w:rFonts w:ascii="Calibri" w:hAnsi="Calibri"/>
      <w:sz w:val="22"/>
      <w:szCs w:val="22"/>
      <w:lang w:val="en-US" w:eastAsia="en-US" w:bidi="ar-SA"/>
    </w:rPr>
    <w:tblPr/>
  </w:style>
  <w:style w:type="paragraph" w:styleId="1287">
    <w:name w:val="成文日期"/>
    <w:basedOn w:val="1039"/>
    <w:next w:val="1287"/>
    <w:link w:val="1288"/>
    <w:qFormat/>
    <w:pPr>
      <w:ind w:right="400" w:firstLine="200"/>
      <w:jc w:val="right"/>
      <w:spacing w:line="570" w:lineRule="exact"/>
    </w:pPr>
    <w:rPr>
      <w:rFonts w:ascii="仿宋_GB2312" w:eastAsia="仿宋_GB2312"/>
      <w:sz w:val="32"/>
      <w:szCs w:val="20"/>
    </w:rPr>
  </w:style>
  <w:style w:type="character" w:styleId="1288">
    <w:name w:val="成文日期 Char"/>
    <w:next w:val="1288"/>
    <w:link w:val="1287"/>
    <w:rPr>
      <w:rFonts w:ascii="仿宋_GB2312" w:eastAsia="仿宋_GB2312"/>
      <w:sz w:val="32"/>
    </w:rPr>
  </w:style>
  <w:style w:type="paragraph" w:styleId="1289">
    <w:name w:val="Table Text"/>
    <w:basedOn w:val="1039"/>
    <w:next w:val="1289"/>
    <w:link w:val="1039"/>
    <w:semiHidden/>
    <w:qFormat/>
    <w:rPr>
      <w:rFonts w:ascii="宋体" w:hAnsi="宋体" w:eastAsia="宋体" w:cs="宋体"/>
      <w:sz w:val="20"/>
      <w:szCs w:val="20"/>
      <w:lang w:val="en-US" w:eastAsia="en-US" w:bidi="ar-SA"/>
    </w:rPr>
  </w:style>
  <w:style w:type="paragraph" w:styleId="1290">
    <w:name w:val="pa-1"/>
    <w:basedOn w:val="1039"/>
    <w:next w:val="1290"/>
    <w:link w:val="1039"/>
    <w:qFormat/>
    <w:pPr>
      <w:jc w:val="left"/>
      <w:spacing w:before="100" w:beforeAutospacing="1" w:after="100" w:afterAutospacing="1"/>
      <w:widowControl/>
    </w:pPr>
    <w:rPr>
      <w:rFonts w:ascii="宋体" w:hAnsi="宋体" w:cs="宋体"/>
      <w:sz w:val="24"/>
    </w:rPr>
  </w:style>
  <w:style w:type="character" w:styleId="1291" w:default="1">
    <w:name w:val="Default Paragraph Font"/>
    <w:uiPriority w:val="1"/>
    <w:semiHidden/>
    <w:unhideWhenUsed/>
  </w:style>
  <w:style w:type="numbering" w:styleId="1292" w:default="1">
    <w:name w:val="No List"/>
    <w:uiPriority w:val="99"/>
    <w:semiHidden/>
    <w:unhideWhenUsed/>
  </w:style>
  <w:style w:type="table" w:styleId="1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3</cp:revision>
  <dcterms:created xsi:type="dcterms:W3CDTF">2023-12-13T07:49:00Z</dcterms:created>
  <dcterms:modified xsi:type="dcterms:W3CDTF">2025-12-06T08:29:08Z</dcterms:modified>
</cp:coreProperties>
</file>